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before="450" w:after="0"/>
        <w:jc w:val="center"/>
        <w:outlineLvl w:val="0"/>
        <w:rPr>
          <w:rFonts w:ascii="微软雅黑" w:hAnsi="微软雅黑" w:cs="宋体"/>
          <w:color w:val="000000"/>
          <w:kern w:val="36"/>
          <w:sz w:val="36"/>
          <w:szCs w:val="36"/>
        </w:rPr>
      </w:pPr>
      <w:r>
        <w:rPr>
          <w:rFonts w:hint="eastAsia" w:ascii="微软雅黑" w:hAnsi="微软雅黑" w:cs="宋体"/>
          <w:color w:val="000000"/>
          <w:kern w:val="36"/>
          <w:sz w:val="36"/>
          <w:szCs w:val="36"/>
        </w:rPr>
        <w:t>2019年内乡县市场发展服务中心部门预算公开</w:t>
      </w:r>
    </w:p>
    <w:p>
      <w:pPr>
        <w:shd w:val="clear" w:color="auto" w:fill="FFFFFF"/>
        <w:adjustRightInd/>
        <w:snapToGrid/>
        <w:spacing w:after="0" w:line="580" w:lineRule="atLeast"/>
        <w:jc w:val="center"/>
        <w:rPr>
          <w:rFonts w:hint="eastAsia" w:ascii="黑体" w:hAnsi="黑体" w:eastAsia="黑体" w:cs="宋体"/>
          <w:color w:val="333333"/>
          <w:sz w:val="56"/>
          <w:szCs w:val="56"/>
        </w:rPr>
      </w:pPr>
    </w:p>
    <w:p>
      <w:pPr>
        <w:shd w:val="clear" w:color="auto" w:fill="FFFFFF"/>
        <w:adjustRightInd/>
        <w:snapToGrid/>
        <w:spacing w:after="0" w:line="580" w:lineRule="atLeast"/>
        <w:jc w:val="center"/>
        <w:rPr>
          <w:rFonts w:ascii="宋体" w:hAnsi="宋体" w:eastAsia="宋体" w:cs="宋体"/>
          <w:color w:val="333333"/>
          <w:sz w:val="24"/>
          <w:szCs w:val="24"/>
        </w:rPr>
      </w:pPr>
      <w:r>
        <w:rPr>
          <w:rFonts w:hint="eastAsia" w:ascii="黑体" w:hAnsi="黑体" w:eastAsia="黑体" w:cs="宋体"/>
          <w:color w:val="333333"/>
          <w:sz w:val="56"/>
          <w:szCs w:val="56"/>
        </w:rPr>
        <w:t>目</w:t>
      </w:r>
      <w:r>
        <w:rPr>
          <w:rFonts w:hint="eastAsia" w:ascii="宋体" w:hAnsi="宋体" w:eastAsia="宋体" w:cs="宋体"/>
          <w:color w:val="333333"/>
          <w:sz w:val="56"/>
          <w:szCs w:val="56"/>
        </w:rPr>
        <w:t> </w:t>
      </w:r>
      <w:r>
        <w:rPr>
          <w:rFonts w:hint="eastAsia" w:ascii="黑体" w:hAnsi="黑体" w:eastAsia="黑体" w:cs="宋体"/>
          <w:color w:val="333333"/>
          <w:sz w:val="56"/>
          <w:szCs w:val="56"/>
        </w:rPr>
        <w:t>录</w:t>
      </w:r>
    </w:p>
    <w:p>
      <w:pPr>
        <w:shd w:val="clear" w:color="auto" w:fill="FFFFFF"/>
        <w:adjustRightInd/>
        <w:snapToGrid/>
        <w:spacing w:after="0" w:line="640" w:lineRule="atLeast"/>
        <w:jc w:val="both"/>
        <w:rPr>
          <w:rFonts w:ascii="宋体" w:hAnsi="宋体" w:eastAsia="宋体" w:cs="宋体"/>
          <w:color w:val="333333"/>
          <w:sz w:val="24"/>
          <w:szCs w:val="24"/>
        </w:rPr>
      </w:pPr>
      <w:r>
        <w:rPr>
          <w:rFonts w:hint="eastAsia" w:ascii="微软雅黑" w:hAnsi="微软雅黑" w:cs="宋体"/>
          <w:color w:val="333333"/>
          <w:sz w:val="28"/>
          <w:szCs w:val="28"/>
        </w:rPr>
        <w:t> </w:t>
      </w:r>
    </w:p>
    <w:p>
      <w:pPr>
        <w:shd w:val="clear" w:color="auto" w:fill="FFFFFF"/>
        <w:adjustRightInd/>
        <w:snapToGrid/>
        <w:spacing w:after="0" w:line="640" w:lineRule="atLeast"/>
        <w:jc w:val="both"/>
        <w:rPr>
          <w:rFonts w:ascii="宋体" w:hAnsi="宋体" w:eastAsia="宋体" w:cs="宋体"/>
          <w:color w:val="333333"/>
          <w:sz w:val="24"/>
          <w:szCs w:val="24"/>
        </w:rPr>
      </w:pPr>
      <w:r>
        <w:rPr>
          <w:rFonts w:hint="eastAsia" w:ascii="微软雅黑" w:hAnsi="微软雅黑" w:cs="宋体"/>
          <w:b/>
          <w:bCs/>
          <w:color w:val="333333"/>
          <w:sz w:val="32"/>
          <w:szCs w:val="32"/>
        </w:rPr>
        <w:t>第一部分 </w:t>
      </w:r>
      <w:r>
        <w:rPr>
          <w:rFonts w:hint="eastAsia" w:ascii="微软雅黑" w:hAnsi="微软雅黑" w:cs="宋体"/>
          <w:b/>
          <w:bCs/>
          <w:color w:val="333333"/>
          <w:sz w:val="32"/>
          <w:szCs w:val="32"/>
          <w:lang w:val="en-US" w:eastAsia="zh-CN"/>
        </w:rPr>
        <w:t>市场发展服务中心</w:t>
      </w:r>
      <w:r>
        <w:rPr>
          <w:rFonts w:hint="eastAsia" w:ascii="微软雅黑" w:hAnsi="微软雅黑" w:cs="宋体"/>
          <w:b/>
          <w:bCs/>
          <w:color w:val="333333"/>
          <w:sz w:val="32"/>
          <w:szCs w:val="32"/>
        </w:rPr>
        <w:t>概况</w:t>
      </w:r>
    </w:p>
    <w:p>
      <w:pPr>
        <w:keepNext w:val="0"/>
        <w:keepLines w:val="0"/>
        <w:pageBreakBefore w:val="0"/>
        <w:widowControl/>
        <w:shd w:val="clear" w:color="auto" w:fill="FFFFFF"/>
        <w:kinsoku/>
        <w:wordWrap/>
        <w:overflowPunct/>
        <w:topLinePunct w:val="0"/>
        <w:autoSpaceDE/>
        <w:autoSpaceDN/>
        <w:bidi w:val="0"/>
        <w:adjustRightInd/>
        <w:snapToGrid/>
        <w:spacing w:after="0" w:line="640" w:lineRule="atLeast"/>
        <w:ind w:left="440" w:leftChars="200"/>
        <w:jc w:val="both"/>
        <w:textAlignment w:val="auto"/>
        <w:rPr>
          <w:rFonts w:hint="eastAsia" w:ascii="宋体" w:hAnsi="宋体" w:eastAsia="微软雅黑" w:cs="宋体"/>
          <w:color w:val="333333"/>
          <w:sz w:val="24"/>
          <w:szCs w:val="24"/>
          <w:lang w:eastAsia="zh-CN"/>
        </w:rPr>
      </w:pPr>
      <w:r>
        <w:rPr>
          <w:rFonts w:hint="eastAsia" w:ascii="微软雅黑" w:hAnsi="微软雅黑" w:cs="宋体"/>
          <w:color w:val="333333"/>
          <w:sz w:val="28"/>
          <w:szCs w:val="28"/>
        </w:rPr>
        <w:t>一、主要职</w:t>
      </w:r>
      <w:r>
        <w:rPr>
          <w:rFonts w:hint="eastAsia" w:ascii="微软雅黑" w:hAnsi="微软雅黑" w:cs="宋体"/>
          <w:color w:val="333333"/>
          <w:sz w:val="28"/>
          <w:szCs w:val="28"/>
          <w:lang w:val="en-US" w:eastAsia="zh-CN"/>
        </w:rPr>
        <w:t>责</w:t>
      </w:r>
    </w:p>
    <w:p>
      <w:pPr>
        <w:keepNext w:val="0"/>
        <w:keepLines w:val="0"/>
        <w:pageBreakBefore w:val="0"/>
        <w:widowControl/>
        <w:shd w:val="clear" w:color="auto" w:fill="FFFFFF"/>
        <w:kinsoku/>
        <w:wordWrap/>
        <w:overflowPunct/>
        <w:topLinePunct w:val="0"/>
        <w:autoSpaceDE/>
        <w:autoSpaceDN/>
        <w:bidi w:val="0"/>
        <w:adjustRightInd/>
        <w:snapToGrid/>
        <w:spacing w:after="0" w:line="640" w:lineRule="atLeast"/>
        <w:ind w:left="440" w:leftChars="200"/>
        <w:jc w:val="both"/>
        <w:textAlignment w:val="auto"/>
        <w:rPr>
          <w:rFonts w:ascii="宋体" w:hAnsi="宋体" w:eastAsia="宋体" w:cs="宋体"/>
          <w:color w:val="333333"/>
          <w:sz w:val="24"/>
          <w:szCs w:val="24"/>
        </w:rPr>
      </w:pPr>
      <w:r>
        <w:rPr>
          <w:rFonts w:hint="eastAsia" w:ascii="微软雅黑" w:hAnsi="微软雅黑" w:cs="宋体"/>
          <w:color w:val="333333"/>
          <w:sz w:val="28"/>
          <w:szCs w:val="28"/>
        </w:rPr>
        <w:t>二、</w:t>
      </w:r>
      <w:r>
        <w:rPr>
          <w:rFonts w:hint="eastAsia" w:ascii="微软雅黑" w:hAnsi="微软雅黑" w:cs="宋体"/>
          <w:color w:val="333333"/>
          <w:sz w:val="28"/>
          <w:szCs w:val="28"/>
          <w:lang w:val="en-US" w:eastAsia="zh-CN"/>
        </w:rPr>
        <w:t>机构设置及</w:t>
      </w:r>
      <w:r>
        <w:rPr>
          <w:rFonts w:hint="eastAsia" w:ascii="微软雅黑" w:hAnsi="微软雅黑" w:cs="宋体"/>
          <w:color w:val="333333"/>
          <w:sz w:val="28"/>
          <w:szCs w:val="28"/>
        </w:rPr>
        <w:t>部门预算单位构成</w:t>
      </w:r>
    </w:p>
    <w:p>
      <w:pPr>
        <w:shd w:val="clear" w:color="auto" w:fill="FFFFFF"/>
        <w:adjustRightInd/>
        <w:snapToGrid/>
        <w:spacing w:after="0" w:line="640" w:lineRule="atLeast"/>
        <w:jc w:val="both"/>
        <w:rPr>
          <w:rFonts w:ascii="宋体" w:hAnsi="宋体" w:eastAsia="宋体" w:cs="宋体"/>
          <w:b/>
          <w:bCs/>
          <w:color w:val="333333"/>
          <w:sz w:val="32"/>
          <w:szCs w:val="32"/>
        </w:rPr>
      </w:pPr>
      <w:r>
        <w:rPr>
          <w:rFonts w:hint="eastAsia" w:ascii="微软雅黑" w:hAnsi="微软雅黑" w:cs="宋体"/>
          <w:b/>
          <w:bCs/>
          <w:color w:val="333333"/>
          <w:sz w:val="32"/>
          <w:szCs w:val="32"/>
        </w:rPr>
        <w:t>第二部分 </w:t>
      </w:r>
      <w:r>
        <w:rPr>
          <w:rFonts w:hint="eastAsia" w:ascii="微软雅黑" w:hAnsi="微软雅黑" w:cs="宋体"/>
          <w:b/>
          <w:bCs/>
          <w:color w:val="333333"/>
          <w:sz w:val="32"/>
          <w:szCs w:val="32"/>
          <w:lang w:val="en-US" w:eastAsia="zh-CN"/>
        </w:rPr>
        <w:t>市场发展服务中心</w:t>
      </w:r>
      <w:r>
        <w:rPr>
          <w:rFonts w:hint="eastAsia" w:ascii="微软雅黑" w:hAnsi="微软雅黑" w:cs="宋体"/>
          <w:b/>
          <w:bCs/>
          <w:color w:val="333333"/>
          <w:sz w:val="32"/>
          <w:szCs w:val="32"/>
        </w:rPr>
        <w:t>2019年部门预算情况说明</w:t>
      </w:r>
    </w:p>
    <w:p>
      <w:pPr>
        <w:shd w:val="clear" w:color="auto" w:fill="FFFFFF"/>
        <w:adjustRightInd/>
        <w:snapToGrid/>
        <w:spacing w:after="0" w:line="640" w:lineRule="atLeast"/>
        <w:jc w:val="both"/>
        <w:rPr>
          <w:rFonts w:hint="eastAsia" w:ascii="微软雅黑" w:hAnsi="微软雅黑" w:cs="宋体"/>
          <w:b/>
          <w:bCs/>
          <w:color w:val="333333"/>
          <w:sz w:val="32"/>
          <w:szCs w:val="32"/>
        </w:rPr>
      </w:pPr>
      <w:r>
        <w:rPr>
          <w:rFonts w:hint="eastAsia" w:ascii="微软雅黑" w:hAnsi="微软雅黑" w:cs="宋体"/>
          <w:b/>
          <w:bCs/>
          <w:color w:val="333333"/>
          <w:sz w:val="32"/>
          <w:szCs w:val="32"/>
        </w:rPr>
        <w:t>第三部分 名词解释</w:t>
      </w:r>
    </w:p>
    <w:p>
      <w:pPr>
        <w:shd w:val="clear" w:color="auto" w:fill="FFFFFF"/>
        <w:adjustRightInd/>
        <w:snapToGrid/>
        <w:spacing w:after="0" w:line="450" w:lineRule="atLeast"/>
        <w:jc w:val="both"/>
        <w:rPr>
          <w:rFonts w:ascii="宋体" w:hAnsi="宋体" w:eastAsia="宋体" w:cs="宋体"/>
          <w:b/>
          <w:bCs/>
          <w:color w:val="333333"/>
          <w:sz w:val="24"/>
          <w:szCs w:val="24"/>
        </w:rPr>
      </w:pPr>
      <w:r>
        <w:rPr>
          <w:rFonts w:hint="eastAsia" w:ascii="宋体" w:hAnsi="宋体" w:eastAsia="宋体" w:cs="宋体"/>
          <w:b/>
          <w:bCs/>
          <w:color w:val="333333"/>
          <w:sz w:val="28"/>
          <w:szCs w:val="28"/>
        </w:rPr>
        <w:t>附件：内乡县市场发展服务中心2019年部门预算表</w:t>
      </w: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hint="default" w:ascii="宋体" w:hAnsi="宋体" w:eastAsia="宋体" w:cs="宋体"/>
          <w:color w:val="333333"/>
          <w:sz w:val="32"/>
          <w:szCs w:val="32"/>
          <w:lang w:val="en-US" w:eastAsia="zh-CN"/>
        </w:rPr>
      </w:pPr>
      <w:r>
        <w:rPr>
          <w:rFonts w:hint="eastAsia" w:ascii="宋体" w:hAnsi="宋体" w:eastAsia="宋体" w:cs="宋体"/>
          <w:color w:val="333333"/>
          <w:sz w:val="32"/>
          <w:szCs w:val="32"/>
          <w:lang w:val="en-US" w:eastAsia="zh-CN"/>
        </w:rPr>
        <w:t>一</w:t>
      </w:r>
      <w:r>
        <w:rPr>
          <w:rFonts w:hint="eastAsia" w:ascii="宋体" w:hAnsi="宋体" w:eastAsia="宋体" w:cs="宋体"/>
          <w:color w:val="333333"/>
          <w:sz w:val="32"/>
          <w:szCs w:val="32"/>
        </w:rPr>
        <w:t>、部门收支</w:t>
      </w:r>
      <w:r>
        <w:rPr>
          <w:rFonts w:hint="eastAsia" w:ascii="宋体" w:hAnsi="宋体" w:eastAsia="宋体" w:cs="宋体"/>
          <w:color w:val="333333"/>
          <w:sz w:val="32"/>
          <w:szCs w:val="32"/>
          <w:lang w:val="en-US" w:eastAsia="zh-CN"/>
        </w:rPr>
        <w:t>总体情况表</w:t>
      </w: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ascii="宋体" w:hAnsi="宋体" w:eastAsia="宋体" w:cs="宋体"/>
          <w:color w:val="333333"/>
          <w:sz w:val="32"/>
          <w:szCs w:val="32"/>
        </w:rPr>
      </w:pPr>
      <w:r>
        <w:rPr>
          <w:rFonts w:hint="eastAsia" w:ascii="宋体" w:hAnsi="宋体" w:eastAsia="宋体" w:cs="宋体"/>
          <w:color w:val="333333"/>
          <w:sz w:val="32"/>
          <w:szCs w:val="32"/>
          <w:lang w:val="en-US" w:eastAsia="zh-CN"/>
        </w:rPr>
        <w:t>二</w:t>
      </w:r>
      <w:r>
        <w:rPr>
          <w:rFonts w:hint="eastAsia" w:ascii="宋体" w:hAnsi="宋体" w:eastAsia="宋体" w:cs="宋体"/>
          <w:color w:val="333333"/>
          <w:sz w:val="32"/>
          <w:szCs w:val="32"/>
        </w:rPr>
        <w:t>、部门收入</w:t>
      </w:r>
      <w:r>
        <w:rPr>
          <w:rFonts w:hint="eastAsia" w:ascii="宋体" w:hAnsi="宋体" w:eastAsia="宋体" w:cs="宋体"/>
          <w:color w:val="333333"/>
          <w:sz w:val="32"/>
          <w:szCs w:val="32"/>
          <w:lang w:val="en-US" w:eastAsia="zh-CN"/>
        </w:rPr>
        <w:t>总体情况表</w:t>
      </w: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ascii="宋体" w:hAnsi="宋体" w:eastAsia="宋体" w:cs="宋体"/>
          <w:color w:val="333333"/>
          <w:sz w:val="32"/>
          <w:szCs w:val="32"/>
        </w:rPr>
      </w:pPr>
      <w:r>
        <w:rPr>
          <w:rFonts w:hint="eastAsia" w:ascii="宋体" w:hAnsi="宋体" w:eastAsia="宋体" w:cs="宋体"/>
          <w:color w:val="333333"/>
          <w:sz w:val="32"/>
          <w:szCs w:val="32"/>
          <w:lang w:val="en-US" w:eastAsia="zh-CN"/>
        </w:rPr>
        <w:t>三</w:t>
      </w:r>
      <w:r>
        <w:rPr>
          <w:rFonts w:hint="eastAsia" w:ascii="宋体" w:hAnsi="宋体" w:eastAsia="宋体" w:cs="宋体"/>
          <w:color w:val="333333"/>
          <w:sz w:val="32"/>
          <w:szCs w:val="32"/>
        </w:rPr>
        <w:t>、部门支出总体情况表</w:t>
      </w: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ascii="宋体" w:hAnsi="宋体" w:eastAsia="宋体" w:cs="宋体"/>
          <w:color w:val="333333"/>
          <w:sz w:val="32"/>
          <w:szCs w:val="32"/>
        </w:rPr>
      </w:pPr>
      <w:r>
        <w:rPr>
          <w:rFonts w:hint="eastAsia" w:ascii="宋体" w:hAnsi="宋体" w:eastAsia="宋体" w:cs="宋体"/>
          <w:color w:val="333333"/>
          <w:sz w:val="32"/>
          <w:szCs w:val="32"/>
          <w:lang w:val="en-US" w:eastAsia="zh-CN"/>
        </w:rPr>
        <w:t>四</w:t>
      </w:r>
      <w:r>
        <w:rPr>
          <w:rFonts w:hint="eastAsia" w:ascii="宋体" w:hAnsi="宋体" w:eastAsia="宋体" w:cs="宋体"/>
          <w:color w:val="333333"/>
          <w:sz w:val="32"/>
          <w:szCs w:val="32"/>
        </w:rPr>
        <w:t>、财政拨款收支</w:t>
      </w:r>
      <w:r>
        <w:rPr>
          <w:rFonts w:hint="eastAsia" w:ascii="宋体" w:hAnsi="宋体" w:eastAsia="宋体" w:cs="宋体"/>
          <w:color w:val="333333"/>
          <w:sz w:val="32"/>
          <w:szCs w:val="32"/>
          <w:lang w:val="en-US" w:eastAsia="zh-CN"/>
        </w:rPr>
        <w:t>总体</w:t>
      </w:r>
      <w:r>
        <w:rPr>
          <w:rFonts w:hint="eastAsia" w:ascii="宋体" w:hAnsi="宋体" w:eastAsia="宋体" w:cs="宋体"/>
          <w:color w:val="333333"/>
          <w:sz w:val="32"/>
          <w:szCs w:val="32"/>
        </w:rPr>
        <w:t>情况表</w:t>
      </w: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ascii="宋体" w:hAnsi="宋体" w:eastAsia="宋体" w:cs="宋体"/>
          <w:color w:val="333333"/>
          <w:sz w:val="32"/>
          <w:szCs w:val="32"/>
        </w:rPr>
      </w:pPr>
      <w:r>
        <w:rPr>
          <w:rFonts w:hint="eastAsia" w:ascii="宋体" w:hAnsi="宋体" w:eastAsia="宋体" w:cs="宋体"/>
          <w:color w:val="333333"/>
          <w:sz w:val="32"/>
          <w:szCs w:val="32"/>
          <w:lang w:val="en-US" w:eastAsia="zh-CN"/>
        </w:rPr>
        <w:t>五</w:t>
      </w:r>
      <w:r>
        <w:rPr>
          <w:rFonts w:hint="eastAsia" w:ascii="宋体" w:hAnsi="宋体" w:eastAsia="宋体" w:cs="宋体"/>
          <w:color w:val="333333"/>
          <w:sz w:val="32"/>
          <w:szCs w:val="32"/>
        </w:rPr>
        <w:t>、一般公共预算支出情况表</w:t>
      </w: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ascii="宋体" w:hAnsi="宋体" w:eastAsia="宋体" w:cs="宋体"/>
          <w:color w:val="333333"/>
          <w:sz w:val="32"/>
          <w:szCs w:val="32"/>
        </w:rPr>
      </w:pPr>
      <w:r>
        <w:rPr>
          <w:rFonts w:hint="eastAsia" w:ascii="宋体" w:hAnsi="宋体" w:eastAsia="宋体" w:cs="宋体"/>
          <w:color w:val="333333"/>
          <w:sz w:val="32"/>
          <w:szCs w:val="32"/>
          <w:lang w:val="en-US" w:eastAsia="zh-CN"/>
        </w:rPr>
        <w:t>六</w:t>
      </w:r>
      <w:r>
        <w:rPr>
          <w:rFonts w:hint="eastAsia" w:ascii="宋体" w:hAnsi="宋体" w:eastAsia="宋体" w:cs="宋体"/>
          <w:color w:val="333333"/>
          <w:sz w:val="32"/>
          <w:szCs w:val="32"/>
        </w:rPr>
        <w:t>、一般公共预算基本支出情况表</w:t>
      </w: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ascii="宋体" w:hAnsi="宋体" w:eastAsia="宋体" w:cs="宋体"/>
          <w:color w:val="333333"/>
          <w:sz w:val="32"/>
          <w:szCs w:val="32"/>
        </w:rPr>
      </w:pPr>
      <w:r>
        <w:rPr>
          <w:rFonts w:hint="eastAsia" w:ascii="宋体" w:hAnsi="宋体" w:eastAsia="宋体" w:cs="宋体"/>
          <w:color w:val="333333"/>
          <w:sz w:val="32"/>
          <w:szCs w:val="32"/>
          <w:lang w:val="en-US" w:eastAsia="zh-CN"/>
        </w:rPr>
        <w:t>七</w:t>
      </w:r>
      <w:r>
        <w:rPr>
          <w:rFonts w:hint="eastAsia" w:ascii="宋体" w:hAnsi="宋体" w:eastAsia="宋体" w:cs="宋体"/>
          <w:color w:val="333333"/>
          <w:sz w:val="32"/>
          <w:szCs w:val="32"/>
        </w:rPr>
        <w:t>、政府性基金预算支出情况表</w:t>
      </w: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hint="eastAsia" w:ascii="宋体" w:hAnsi="宋体" w:eastAsia="宋体" w:cs="宋体"/>
          <w:color w:val="333333"/>
          <w:sz w:val="32"/>
          <w:szCs w:val="32"/>
        </w:rPr>
      </w:pPr>
      <w:r>
        <w:rPr>
          <w:rFonts w:hint="eastAsia" w:ascii="宋体" w:hAnsi="宋体" w:eastAsia="宋体" w:cs="宋体"/>
          <w:color w:val="333333"/>
          <w:sz w:val="32"/>
          <w:szCs w:val="32"/>
          <w:lang w:val="en-US" w:eastAsia="zh-CN"/>
        </w:rPr>
        <w:t>八</w:t>
      </w:r>
      <w:r>
        <w:rPr>
          <w:rFonts w:hint="eastAsia" w:ascii="宋体" w:hAnsi="宋体" w:eastAsia="宋体" w:cs="宋体"/>
          <w:color w:val="333333"/>
          <w:sz w:val="32"/>
          <w:szCs w:val="32"/>
        </w:rPr>
        <w:t>、一般公共预算“三公”经费支出情况表</w:t>
      </w: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hint="eastAsia" w:ascii="宋体" w:hAnsi="宋体" w:eastAsia="宋体" w:cs="宋体"/>
          <w:color w:val="333333"/>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hint="eastAsia" w:ascii="宋体" w:hAnsi="宋体" w:eastAsia="宋体" w:cs="宋体"/>
          <w:color w:val="333333"/>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hint="eastAsia" w:ascii="宋体" w:hAnsi="宋体" w:eastAsia="宋体" w:cs="宋体"/>
          <w:color w:val="333333"/>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ind w:left="440" w:leftChars="200"/>
        <w:jc w:val="both"/>
        <w:textAlignment w:val="auto"/>
        <w:rPr>
          <w:rFonts w:hint="eastAsia" w:ascii="宋体" w:hAnsi="宋体" w:eastAsia="宋体" w:cs="宋体"/>
          <w:color w:val="333333"/>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640" w:lineRule="atLeast"/>
        <w:ind w:left="440" w:leftChars="200"/>
        <w:jc w:val="both"/>
        <w:textAlignment w:val="auto"/>
        <w:rPr>
          <w:rFonts w:hint="eastAsia" w:ascii="微软雅黑" w:hAnsi="微软雅黑" w:cs="宋体"/>
          <w:color w:val="333333"/>
          <w:sz w:val="32"/>
          <w:szCs w:val="32"/>
        </w:rPr>
      </w:pPr>
    </w:p>
    <w:p>
      <w:pPr>
        <w:shd w:val="clear" w:color="auto" w:fill="FFFFFF"/>
        <w:adjustRightInd/>
        <w:snapToGrid/>
        <w:spacing w:after="0" w:line="450" w:lineRule="atLeast"/>
        <w:jc w:val="center"/>
        <w:rPr>
          <w:rFonts w:ascii="宋体" w:hAnsi="宋体" w:eastAsia="宋体" w:cs="宋体"/>
          <w:color w:val="333333"/>
          <w:sz w:val="24"/>
          <w:szCs w:val="24"/>
        </w:rPr>
      </w:pPr>
      <w:r>
        <w:rPr>
          <w:rFonts w:hint="eastAsia" w:ascii="宋体" w:hAnsi="宋体" w:eastAsia="宋体" w:cs="宋体"/>
          <w:color w:val="333333"/>
          <w:sz w:val="28"/>
          <w:szCs w:val="28"/>
        </w:rPr>
        <w:t> </w:t>
      </w:r>
    </w:p>
    <w:p>
      <w:pPr>
        <w:shd w:val="clear" w:color="auto" w:fill="FFFFFF"/>
        <w:adjustRightInd/>
        <w:snapToGrid/>
        <w:spacing w:after="0" w:line="450" w:lineRule="atLeast"/>
        <w:jc w:val="center"/>
        <w:rPr>
          <w:rFonts w:ascii="宋体" w:hAnsi="宋体" w:eastAsia="宋体" w:cs="宋体"/>
          <w:b/>
          <w:bCs/>
          <w:color w:val="333333"/>
          <w:sz w:val="36"/>
          <w:szCs w:val="36"/>
        </w:rPr>
      </w:pPr>
      <w:r>
        <w:rPr>
          <w:rFonts w:hint="eastAsia" w:ascii="宋体" w:hAnsi="宋体" w:eastAsia="宋体" w:cs="宋体"/>
          <w:b/>
          <w:bCs/>
          <w:color w:val="333333"/>
          <w:sz w:val="36"/>
          <w:szCs w:val="36"/>
        </w:rPr>
        <w:t>第一部分</w:t>
      </w:r>
    </w:p>
    <w:p>
      <w:pPr>
        <w:shd w:val="clear" w:color="auto" w:fill="FFFFFF"/>
        <w:adjustRightInd/>
        <w:snapToGrid/>
        <w:spacing w:after="0" w:line="450" w:lineRule="atLeast"/>
        <w:jc w:val="center"/>
        <w:rPr>
          <w:rFonts w:ascii="宋体" w:hAnsi="宋体" w:eastAsia="宋体" w:cs="宋体"/>
          <w:b/>
          <w:bCs/>
          <w:color w:val="333333"/>
          <w:sz w:val="24"/>
          <w:szCs w:val="24"/>
        </w:rPr>
      </w:pPr>
      <w:r>
        <w:rPr>
          <w:rFonts w:hint="eastAsia" w:ascii="宋体" w:hAnsi="宋体" w:eastAsia="宋体" w:cs="宋体"/>
          <w:b/>
          <w:bCs/>
          <w:color w:val="333333"/>
          <w:sz w:val="28"/>
          <w:szCs w:val="28"/>
          <w:lang w:val="en-US" w:eastAsia="zh-CN"/>
        </w:rPr>
        <w:t>内乡县市场发展服务中心</w:t>
      </w:r>
      <w:r>
        <w:rPr>
          <w:rFonts w:hint="eastAsia" w:ascii="宋体" w:hAnsi="宋体" w:eastAsia="宋体" w:cs="宋体"/>
          <w:b/>
          <w:bCs/>
          <w:color w:val="333333"/>
          <w:sz w:val="28"/>
          <w:szCs w:val="28"/>
        </w:rPr>
        <w:t>概况</w:t>
      </w:r>
    </w:p>
    <w:p>
      <w:pPr>
        <w:numPr>
          <w:ilvl w:val="0"/>
          <w:numId w:val="1"/>
        </w:numPr>
        <w:shd w:val="clear" w:color="auto" w:fill="FFFFFF"/>
        <w:adjustRightInd/>
        <w:snapToGrid/>
        <w:spacing w:after="0" w:line="540" w:lineRule="atLeast"/>
        <w:ind w:firstLine="640"/>
        <w:jc w:val="both"/>
        <w:rPr>
          <w:rFonts w:hint="eastAsia" w:ascii="宋体" w:hAnsi="宋体" w:eastAsia="宋体" w:cs="宋体"/>
          <w:b/>
          <w:bCs/>
          <w:color w:val="333333"/>
          <w:sz w:val="28"/>
          <w:szCs w:val="28"/>
        </w:rPr>
      </w:pPr>
      <w:r>
        <w:rPr>
          <w:rFonts w:hint="eastAsia" w:ascii="宋体" w:hAnsi="宋体" w:eastAsia="宋体" w:cs="宋体"/>
          <w:b/>
          <w:bCs/>
          <w:color w:val="333333"/>
          <w:sz w:val="28"/>
          <w:szCs w:val="28"/>
          <w:lang w:val="en-US" w:eastAsia="zh-CN"/>
        </w:rPr>
        <w:t>内乡县市场发展服务中心</w:t>
      </w:r>
      <w:r>
        <w:rPr>
          <w:rFonts w:hint="eastAsia" w:ascii="宋体" w:hAnsi="宋体" w:eastAsia="宋体" w:cs="宋体"/>
          <w:b/>
          <w:bCs/>
          <w:color w:val="333333"/>
          <w:sz w:val="28"/>
          <w:szCs w:val="28"/>
        </w:rPr>
        <w:t>主要职责</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540" w:lineRule="atLeast"/>
        <w:ind w:left="660" w:leftChars="300"/>
        <w:jc w:val="both"/>
        <w:textAlignment w:val="auto"/>
        <w:rPr>
          <w:rFonts w:ascii="宋体" w:hAnsi="宋体" w:eastAsia="宋体" w:cs="宋体"/>
          <w:color w:val="333333"/>
          <w:sz w:val="24"/>
          <w:szCs w:val="24"/>
        </w:rPr>
      </w:pPr>
      <w:r>
        <w:rPr>
          <w:rFonts w:hint="eastAsia" w:ascii="宋体" w:hAnsi="宋体" w:eastAsia="宋体" w:cs="宋体"/>
          <w:color w:val="333333"/>
          <w:sz w:val="28"/>
          <w:szCs w:val="28"/>
        </w:rPr>
        <w:t>主要职能是为市场发展建设提供管理服务。</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540" w:lineRule="atLeast"/>
        <w:ind w:left="660" w:leftChars="300"/>
        <w:jc w:val="both"/>
        <w:textAlignment w:val="auto"/>
        <w:rPr>
          <w:rFonts w:ascii="宋体" w:hAnsi="宋体" w:eastAsia="宋体" w:cs="宋体"/>
          <w:color w:val="333333"/>
          <w:sz w:val="24"/>
          <w:szCs w:val="24"/>
        </w:rPr>
      </w:pPr>
      <w:r>
        <w:rPr>
          <w:rFonts w:hint="eastAsia" w:ascii="宋体" w:hAnsi="宋体" w:eastAsia="宋体" w:cs="宋体"/>
          <w:color w:val="333333"/>
          <w:sz w:val="28"/>
          <w:szCs w:val="28"/>
        </w:rPr>
        <w:t>市场体系建设规划 </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540" w:lineRule="atLeast"/>
        <w:ind w:left="660" w:leftChars="300"/>
        <w:jc w:val="both"/>
        <w:textAlignment w:val="auto"/>
        <w:rPr>
          <w:rFonts w:ascii="宋体" w:hAnsi="宋体" w:eastAsia="宋体" w:cs="宋体"/>
          <w:color w:val="333333"/>
          <w:sz w:val="24"/>
          <w:szCs w:val="24"/>
        </w:rPr>
      </w:pPr>
      <w:r>
        <w:rPr>
          <w:rFonts w:hint="eastAsia" w:ascii="宋体" w:hAnsi="宋体" w:eastAsia="宋体" w:cs="宋体"/>
          <w:color w:val="333333"/>
          <w:sz w:val="28"/>
          <w:szCs w:val="28"/>
        </w:rPr>
        <w:t>新建市可行性报告进行论证 </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540" w:lineRule="atLeast"/>
        <w:ind w:left="660" w:leftChars="300"/>
        <w:jc w:val="both"/>
        <w:textAlignment w:val="auto"/>
        <w:rPr>
          <w:rFonts w:ascii="宋体" w:hAnsi="宋体" w:eastAsia="宋体" w:cs="宋体"/>
          <w:color w:val="333333"/>
          <w:sz w:val="24"/>
          <w:szCs w:val="24"/>
        </w:rPr>
      </w:pPr>
      <w:r>
        <w:rPr>
          <w:rFonts w:hint="eastAsia" w:ascii="宋体" w:hAnsi="宋体" w:eastAsia="宋体" w:cs="宋体"/>
          <w:color w:val="333333"/>
          <w:sz w:val="28"/>
          <w:szCs w:val="28"/>
        </w:rPr>
        <w:t>市场物业的经营管理和设施维修、改造及资产管理 </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540" w:lineRule="atLeast"/>
        <w:ind w:left="660" w:leftChars="300"/>
        <w:jc w:val="both"/>
        <w:textAlignment w:val="auto"/>
        <w:rPr>
          <w:rFonts w:ascii="宋体" w:hAnsi="宋体" w:eastAsia="宋体" w:cs="宋体"/>
          <w:color w:val="333333"/>
          <w:sz w:val="24"/>
          <w:szCs w:val="24"/>
        </w:rPr>
      </w:pPr>
      <w:r>
        <w:rPr>
          <w:rFonts w:hint="eastAsia" w:ascii="宋体" w:hAnsi="宋体" w:eastAsia="宋体" w:cs="宋体"/>
          <w:color w:val="333333"/>
          <w:sz w:val="28"/>
          <w:szCs w:val="28"/>
        </w:rPr>
        <w:t>市场资源开发与市场交易 </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540" w:lineRule="atLeast"/>
        <w:ind w:left="660" w:leftChars="300"/>
        <w:jc w:val="both"/>
        <w:textAlignment w:val="auto"/>
        <w:rPr>
          <w:rFonts w:ascii="宋体" w:hAnsi="宋体" w:eastAsia="宋体" w:cs="宋体"/>
          <w:color w:val="333333"/>
          <w:sz w:val="24"/>
          <w:szCs w:val="24"/>
        </w:rPr>
      </w:pPr>
      <w:r>
        <w:rPr>
          <w:rFonts w:hint="eastAsia" w:ascii="宋体" w:hAnsi="宋体" w:eastAsia="宋体" w:cs="宋体"/>
          <w:color w:val="333333"/>
          <w:sz w:val="28"/>
          <w:szCs w:val="28"/>
        </w:rPr>
        <w:t>为市场经营者提供经营条件和信息、储运、生活等方面的有偿服务 </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540" w:lineRule="atLeast"/>
        <w:ind w:left="660" w:leftChars="300"/>
        <w:jc w:val="both"/>
        <w:textAlignment w:val="auto"/>
        <w:rPr>
          <w:rFonts w:ascii="宋体" w:hAnsi="宋体" w:eastAsia="宋体" w:cs="宋体"/>
          <w:color w:val="333333"/>
          <w:sz w:val="24"/>
          <w:szCs w:val="24"/>
        </w:rPr>
      </w:pPr>
      <w:r>
        <w:rPr>
          <w:rFonts w:hint="eastAsia" w:ascii="宋体" w:hAnsi="宋体" w:eastAsia="宋体" w:cs="宋体"/>
          <w:color w:val="333333"/>
          <w:sz w:val="28"/>
          <w:szCs w:val="28"/>
        </w:rPr>
        <w:t>环境卫生消防安全，规范市场管理。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540" w:lineRule="atLeast"/>
        <w:jc w:val="both"/>
        <w:textAlignment w:val="auto"/>
        <w:rPr>
          <w:rFonts w:ascii="宋体" w:hAnsi="宋体" w:eastAsia="宋体" w:cs="宋体"/>
          <w:color w:val="333333"/>
          <w:sz w:val="24"/>
          <w:szCs w:val="24"/>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570" w:lineRule="atLeast"/>
        <w:ind w:left="0" w:leftChars="0" w:firstLine="640" w:firstLineChars="0"/>
        <w:jc w:val="both"/>
        <w:textAlignment w:val="auto"/>
        <w:rPr>
          <w:rFonts w:hint="eastAsia" w:ascii="宋体" w:hAnsi="宋体" w:eastAsia="宋体" w:cs="宋体"/>
          <w:b/>
          <w:bCs/>
          <w:color w:val="333333"/>
          <w:sz w:val="28"/>
          <w:szCs w:val="28"/>
        </w:rPr>
      </w:pPr>
      <w:r>
        <w:rPr>
          <w:rFonts w:hint="eastAsia" w:ascii="宋体" w:hAnsi="宋体" w:eastAsia="宋体" w:cs="宋体"/>
          <w:b/>
          <w:bCs/>
          <w:color w:val="333333"/>
          <w:sz w:val="28"/>
          <w:szCs w:val="28"/>
          <w:lang w:val="en-US" w:eastAsia="zh-CN"/>
        </w:rPr>
        <w:t>内乡县市场发展服务中心机构设置及部门</w:t>
      </w:r>
      <w:r>
        <w:rPr>
          <w:rFonts w:hint="eastAsia" w:ascii="宋体" w:hAnsi="宋体" w:eastAsia="宋体" w:cs="宋体"/>
          <w:b/>
          <w:bCs/>
          <w:color w:val="333333"/>
          <w:sz w:val="28"/>
          <w:szCs w:val="28"/>
        </w:rPr>
        <w:t>预算单位构成</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after="0" w:line="570" w:lineRule="atLeast"/>
        <w:ind w:left="640" w:leftChars="0"/>
        <w:jc w:val="both"/>
        <w:textAlignment w:val="auto"/>
        <w:rPr>
          <w:rFonts w:hint="default"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机构设置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570" w:lineRule="atLeast"/>
        <w:ind w:left="660" w:leftChars="300" w:firstLine="560" w:firstLineChars="200"/>
        <w:jc w:val="both"/>
        <w:textAlignment w:val="auto"/>
        <w:rPr>
          <w:rFonts w:hint="default"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根据《中共南阳市委办公室南阳市人民政府办公室关于印发&lt;南阳市内乡县市场发展服务中心职能配置、内设机构和人员编制规定&gt;的通知》的规定，南阳市内乡县市场发展服务中心设五个科室，包括：办公室、财务股、人事股、市场管理办公室、市场开发办公室。</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after="0" w:line="570" w:lineRule="atLeast"/>
        <w:ind w:left="640" w:leftChars="0" w:firstLine="0" w:firstLineChars="0"/>
        <w:jc w:val="both"/>
        <w:textAlignment w:val="auto"/>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部门预算单位构成</w:t>
      </w:r>
    </w:p>
    <w:p>
      <w:pPr>
        <w:keepNext w:val="0"/>
        <w:keepLines w:val="0"/>
        <w:pageBreakBefore w:val="0"/>
        <w:widowControl/>
        <w:shd w:val="clear" w:color="auto" w:fill="FFFFFF"/>
        <w:kinsoku/>
        <w:wordWrap/>
        <w:overflowPunct/>
        <w:topLinePunct w:val="0"/>
        <w:autoSpaceDE/>
        <w:autoSpaceDN/>
        <w:bidi w:val="0"/>
        <w:adjustRightInd/>
        <w:snapToGrid/>
        <w:spacing w:after="0" w:line="570" w:lineRule="atLeast"/>
        <w:ind w:left="440" w:leftChars="200" w:firstLine="561"/>
        <w:jc w:val="both"/>
        <w:textAlignment w:val="auto"/>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内乡县市场发展服务中心部门预算包括局机关本级预算和所属单位预算。</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570" w:lineRule="atLeast"/>
        <w:ind w:left="660" w:leftChars="300"/>
        <w:jc w:val="both"/>
        <w:textAlignment w:val="auto"/>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1.内乡县市场发展服务中心机关本级</w:t>
      </w:r>
    </w:p>
    <w:p>
      <w:pPr>
        <w:keepNext w:val="0"/>
        <w:keepLines w:val="0"/>
        <w:pageBreakBefore w:val="0"/>
        <w:widowControl/>
        <w:shd w:val="clear" w:color="auto" w:fill="FFFFFF"/>
        <w:kinsoku/>
        <w:wordWrap/>
        <w:overflowPunct/>
        <w:topLinePunct w:val="0"/>
        <w:autoSpaceDE/>
        <w:autoSpaceDN/>
        <w:bidi w:val="0"/>
        <w:adjustRightInd/>
        <w:snapToGrid/>
        <w:spacing w:after="0" w:line="570" w:lineRule="atLeast"/>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     </w:t>
      </w:r>
    </w:p>
    <w:p>
      <w:pPr>
        <w:shd w:val="clear" w:color="auto" w:fill="FFFFFF"/>
        <w:adjustRightInd/>
        <w:snapToGrid/>
        <w:spacing w:after="0" w:line="450" w:lineRule="atLeast"/>
        <w:jc w:val="both"/>
        <w:rPr>
          <w:rFonts w:hint="eastAsia" w:ascii="宋体" w:hAnsi="宋体" w:eastAsia="宋体" w:cs="宋体"/>
          <w:color w:val="333333"/>
          <w:sz w:val="28"/>
          <w:szCs w:val="28"/>
        </w:rPr>
      </w:pPr>
    </w:p>
    <w:p>
      <w:pPr>
        <w:shd w:val="clear" w:color="auto" w:fill="FFFFFF"/>
        <w:adjustRightInd/>
        <w:snapToGrid/>
        <w:spacing w:after="0" w:line="450" w:lineRule="atLeast"/>
        <w:jc w:val="both"/>
        <w:rPr>
          <w:rFonts w:hint="eastAsia" w:ascii="宋体" w:hAnsi="宋体" w:eastAsia="宋体" w:cs="宋体"/>
          <w:color w:val="333333"/>
          <w:sz w:val="28"/>
          <w:szCs w:val="28"/>
        </w:rPr>
      </w:pPr>
    </w:p>
    <w:p>
      <w:pPr>
        <w:shd w:val="clear" w:color="auto" w:fill="FFFFFF"/>
        <w:adjustRightInd/>
        <w:snapToGrid/>
        <w:spacing w:after="0" w:line="450" w:lineRule="atLeast"/>
        <w:jc w:val="both"/>
        <w:rPr>
          <w:rFonts w:hint="eastAsia" w:ascii="宋体" w:hAnsi="宋体" w:eastAsia="宋体" w:cs="宋体"/>
          <w:color w:val="333333"/>
          <w:sz w:val="28"/>
          <w:szCs w:val="28"/>
        </w:rPr>
      </w:pPr>
    </w:p>
    <w:p>
      <w:pPr>
        <w:shd w:val="clear" w:color="auto" w:fill="FFFFFF"/>
        <w:adjustRightInd/>
        <w:snapToGrid/>
        <w:spacing w:after="0" w:line="450" w:lineRule="atLeast"/>
        <w:jc w:val="both"/>
        <w:rPr>
          <w:rFonts w:hint="eastAsia" w:ascii="宋体" w:hAnsi="宋体" w:eastAsia="宋体" w:cs="宋体"/>
          <w:color w:val="333333"/>
          <w:sz w:val="28"/>
          <w:szCs w:val="28"/>
        </w:rPr>
      </w:pPr>
    </w:p>
    <w:p>
      <w:pPr>
        <w:shd w:val="clear" w:color="auto" w:fill="FFFFFF"/>
        <w:adjustRightInd/>
        <w:snapToGrid/>
        <w:spacing w:after="0" w:line="450" w:lineRule="atLeast"/>
        <w:jc w:val="center"/>
        <w:rPr>
          <w:rFonts w:ascii="宋体" w:hAnsi="宋体" w:eastAsia="宋体" w:cs="宋体"/>
          <w:b/>
          <w:bCs/>
          <w:color w:val="333333"/>
          <w:sz w:val="24"/>
          <w:szCs w:val="24"/>
        </w:rPr>
      </w:pPr>
      <w:r>
        <w:rPr>
          <w:rFonts w:hint="eastAsia" w:ascii="宋体" w:hAnsi="宋体" w:eastAsia="宋体" w:cs="宋体"/>
          <w:b/>
          <w:bCs/>
          <w:color w:val="333333"/>
          <w:sz w:val="36"/>
          <w:szCs w:val="36"/>
        </w:rPr>
        <w:t>第二部分</w:t>
      </w:r>
    </w:p>
    <w:p>
      <w:pPr>
        <w:shd w:val="clear" w:color="auto" w:fill="FFFFFF"/>
        <w:adjustRightInd/>
        <w:snapToGrid/>
        <w:spacing w:after="0" w:line="450" w:lineRule="atLeast"/>
        <w:jc w:val="center"/>
        <w:rPr>
          <w:rFonts w:hint="eastAsia" w:ascii="宋体" w:hAnsi="宋体" w:eastAsia="宋体" w:cs="宋体"/>
          <w:b/>
          <w:bCs/>
          <w:color w:val="333333"/>
          <w:sz w:val="28"/>
          <w:szCs w:val="28"/>
        </w:rPr>
      </w:pPr>
      <w:r>
        <w:rPr>
          <w:rFonts w:hint="eastAsia" w:ascii="宋体" w:hAnsi="宋体" w:eastAsia="宋体" w:cs="宋体"/>
          <w:b/>
          <w:bCs/>
          <w:color w:val="333333"/>
          <w:sz w:val="28"/>
          <w:szCs w:val="28"/>
          <w:lang w:val="en-US" w:eastAsia="zh-CN"/>
        </w:rPr>
        <w:t>内乡县市场发展服务中心</w:t>
      </w:r>
      <w:r>
        <w:rPr>
          <w:rFonts w:hint="eastAsia" w:ascii="宋体" w:hAnsi="宋体" w:eastAsia="宋体" w:cs="宋体"/>
          <w:b/>
          <w:bCs/>
          <w:color w:val="333333"/>
          <w:sz w:val="28"/>
          <w:szCs w:val="28"/>
        </w:rPr>
        <w:t>2019年部门预算情况说明</w:t>
      </w:r>
    </w:p>
    <w:p>
      <w:pPr>
        <w:shd w:val="clear" w:color="auto" w:fill="FFFFFF"/>
        <w:adjustRightInd/>
        <w:snapToGrid/>
        <w:spacing w:after="0" w:line="450" w:lineRule="atLeast"/>
        <w:jc w:val="center"/>
        <w:rPr>
          <w:rFonts w:hint="eastAsia" w:ascii="宋体" w:hAnsi="宋体" w:eastAsia="宋体" w:cs="宋体"/>
          <w:b/>
          <w:bCs/>
          <w:color w:val="333333"/>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ascii="宋体" w:hAnsi="宋体" w:eastAsia="宋体" w:cs="宋体"/>
          <w:color w:val="333333"/>
          <w:sz w:val="24"/>
          <w:szCs w:val="24"/>
        </w:rPr>
      </w:pPr>
      <w:r>
        <w:rPr>
          <w:rFonts w:hint="eastAsia" w:ascii="宋体" w:hAnsi="宋体" w:eastAsia="宋体" w:cs="宋体"/>
          <w:b/>
          <w:bCs/>
          <w:color w:val="333333"/>
          <w:sz w:val="28"/>
          <w:szCs w:val="28"/>
        </w:rPr>
        <w:t>一、收入支出预算总体情况说明</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ascii="宋体" w:hAnsi="宋体" w:eastAsia="宋体" w:cs="宋体"/>
          <w:color w:val="333333"/>
          <w:sz w:val="30"/>
          <w:szCs w:val="30"/>
        </w:rPr>
      </w:pPr>
      <w:r>
        <w:rPr>
          <w:rFonts w:hint="eastAsia" w:ascii="宋体" w:hAnsi="宋体" w:eastAsia="宋体" w:cs="宋体"/>
          <w:color w:val="333333"/>
          <w:sz w:val="30"/>
          <w:szCs w:val="30"/>
          <w:lang w:val="en-US" w:eastAsia="zh-CN"/>
        </w:rPr>
        <w:t>内乡县市场发展服务中心</w:t>
      </w:r>
      <w:r>
        <w:rPr>
          <w:rFonts w:hint="eastAsia" w:ascii="宋体" w:hAnsi="宋体" w:eastAsia="宋体" w:cs="宋体"/>
          <w:color w:val="333333"/>
          <w:sz w:val="30"/>
          <w:szCs w:val="30"/>
        </w:rPr>
        <w:t>2019年收入总计464.3万元，支出</w:t>
      </w:r>
      <w:r>
        <w:rPr>
          <w:rFonts w:hint="eastAsia" w:ascii="宋体" w:hAnsi="宋体" w:eastAsia="宋体" w:cs="宋体"/>
          <w:color w:val="333333"/>
          <w:sz w:val="30"/>
          <w:szCs w:val="30"/>
          <w:lang w:val="en-US" w:eastAsia="zh-CN"/>
        </w:rPr>
        <w:t>总</w:t>
      </w:r>
      <w:r>
        <w:rPr>
          <w:rFonts w:hint="eastAsia" w:ascii="宋体" w:hAnsi="宋体" w:eastAsia="宋体" w:cs="宋体"/>
          <w:color w:val="333333"/>
          <w:sz w:val="30"/>
          <w:szCs w:val="30"/>
        </w:rPr>
        <w:t>计464.3万元，</w:t>
      </w:r>
      <w:r>
        <w:rPr>
          <w:rFonts w:hint="eastAsia" w:ascii="宋体" w:hAnsi="宋体" w:eastAsia="宋体" w:cs="宋体"/>
          <w:color w:val="333333"/>
          <w:sz w:val="30"/>
          <w:szCs w:val="30"/>
          <w:lang w:val="en-US" w:eastAsia="zh-CN"/>
        </w:rPr>
        <w:t>与上年预算相比，收入</w:t>
      </w:r>
      <w:r>
        <w:rPr>
          <w:rFonts w:hint="eastAsia" w:ascii="宋体" w:hAnsi="宋体" w:eastAsia="宋体" w:cs="宋体"/>
          <w:color w:val="333333"/>
          <w:sz w:val="30"/>
          <w:szCs w:val="30"/>
        </w:rPr>
        <w:t>较上年增</w:t>
      </w:r>
      <w:r>
        <w:rPr>
          <w:rFonts w:hint="eastAsia" w:ascii="宋体" w:hAnsi="宋体" w:eastAsia="宋体" w:cs="宋体"/>
          <w:color w:val="333333"/>
          <w:sz w:val="30"/>
          <w:szCs w:val="30"/>
          <w:lang w:val="en-US" w:eastAsia="zh-CN"/>
        </w:rPr>
        <w:t>加90.76万元</w:t>
      </w:r>
      <w:r>
        <w:rPr>
          <w:rFonts w:hint="eastAsia" w:ascii="宋体" w:hAnsi="宋体" w:eastAsia="宋体" w:cs="宋体"/>
          <w:color w:val="333333"/>
          <w:sz w:val="30"/>
          <w:szCs w:val="30"/>
          <w:lang w:eastAsia="zh-CN"/>
        </w:rPr>
        <w:t>，</w:t>
      </w:r>
      <w:r>
        <w:rPr>
          <w:rFonts w:hint="eastAsia" w:ascii="宋体" w:hAnsi="宋体" w:eastAsia="宋体" w:cs="宋体"/>
          <w:color w:val="333333"/>
          <w:sz w:val="30"/>
          <w:szCs w:val="30"/>
        </w:rPr>
        <w:t>增长24.3%。</w:t>
      </w:r>
      <w:r>
        <w:rPr>
          <w:rFonts w:hint="eastAsia" w:ascii="宋体" w:hAnsi="宋体" w:eastAsia="宋体" w:cs="宋体"/>
          <w:color w:val="333333"/>
          <w:sz w:val="30"/>
          <w:szCs w:val="30"/>
          <w:lang w:val="en-US" w:eastAsia="zh-CN"/>
        </w:rPr>
        <w:t>支出</w:t>
      </w:r>
      <w:r>
        <w:rPr>
          <w:rFonts w:hint="eastAsia" w:ascii="宋体" w:hAnsi="宋体" w:eastAsia="宋体" w:cs="宋体"/>
          <w:color w:val="333333"/>
          <w:sz w:val="30"/>
          <w:szCs w:val="30"/>
        </w:rPr>
        <w:t>较上年增</w:t>
      </w:r>
      <w:r>
        <w:rPr>
          <w:rFonts w:hint="eastAsia" w:ascii="宋体" w:hAnsi="宋体" w:eastAsia="宋体" w:cs="宋体"/>
          <w:color w:val="333333"/>
          <w:sz w:val="30"/>
          <w:szCs w:val="30"/>
          <w:lang w:val="en-US" w:eastAsia="zh-CN"/>
        </w:rPr>
        <w:t>加90.76万元，增长</w:t>
      </w:r>
      <w:r>
        <w:rPr>
          <w:rFonts w:hint="eastAsia" w:ascii="宋体" w:hAnsi="宋体" w:eastAsia="宋体" w:cs="宋体"/>
          <w:color w:val="333333"/>
          <w:sz w:val="30"/>
          <w:szCs w:val="30"/>
        </w:rPr>
        <w:t>24.3%。</w:t>
      </w:r>
      <w:r>
        <w:rPr>
          <w:rFonts w:hint="eastAsia" w:ascii="宋体" w:hAnsi="宋体" w:eastAsia="宋体" w:cs="宋体"/>
          <w:color w:val="333333"/>
          <w:sz w:val="30"/>
          <w:szCs w:val="30"/>
          <w:lang w:val="en-US" w:eastAsia="zh-CN"/>
        </w:rPr>
        <w:t>主要</w:t>
      </w:r>
      <w:r>
        <w:rPr>
          <w:rFonts w:hint="eastAsia" w:ascii="宋体" w:hAnsi="宋体" w:eastAsia="宋体" w:cs="宋体"/>
          <w:color w:val="333333"/>
          <w:sz w:val="30"/>
          <w:szCs w:val="30"/>
        </w:rPr>
        <w:t>原因</w:t>
      </w:r>
      <w:r>
        <w:rPr>
          <w:rFonts w:hint="eastAsia" w:ascii="宋体" w:hAnsi="宋体" w:eastAsia="宋体" w:cs="宋体"/>
          <w:color w:val="333333"/>
          <w:sz w:val="30"/>
          <w:szCs w:val="30"/>
          <w:lang w:eastAsia="zh-CN"/>
        </w:rPr>
        <w:t>：</w:t>
      </w:r>
      <w:r>
        <w:rPr>
          <w:rFonts w:hint="eastAsia" w:ascii="宋体" w:hAnsi="宋体" w:eastAsia="宋体" w:cs="宋体"/>
          <w:color w:val="333333"/>
          <w:sz w:val="30"/>
          <w:szCs w:val="30"/>
          <w:lang w:val="en-US" w:eastAsia="zh-CN"/>
        </w:rPr>
        <w:t>社保费用及工资上涨</w:t>
      </w:r>
      <w:r>
        <w:rPr>
          <w:rFonts w:hint="eastAsia" w:ascii="宋体" w:hAnsi="宋体" w:eastAsia="宋体" w:cs="宋体"/>
          <w:color w:val="333333"/>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ascii="宋体" w:hAnsi="宋体" w:eastAsia="宋体" w:cs="宋体"/>
          <w:b/>
          <w:bCs/>
          <w:color w:val="333333"/>
          <w:sz w:val="24"/>
          <w:szCs w:val="24"/>
        </w:rPr>
      </w:pPr>
      <w:r>
        <w:rPr>
          <w:rFonts w:hint="eastAsia" w:ascii="宋体" w:hAnsi="宋体" w:eastAsia="宋体" w:cs="宋体"/>
          <w:b/>
          <w:bCs/>
          <w:color w:val="333333"/>
          <w:sz w:val="28"/>
          <w:szCs w:val="28"/>
        </w:rPr>
        <w:t>二、收入预算总体情况说明</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ascii="宋体" w:hAnsi="宋体" w:eastAsia="宋体" w:cs="宋体"/>
          <w:color w:val="333333"/>
          <w:sz w:val="30"/>
          <w:szCs w:val="30"/>
        </w:rPr>
      </w:pPr>
      <w:r>
        <w:rPr>
          <w:rFonts w:hint="eastAsia" w:ascii="宋体" w:hAnsi="宋体" w:eastAsia="宋体" w:cs="宋体"/>
          <w:color w:val="333333"/>
          <w:sz w:val="30"/>
          <w:szCs w:val="30"/>
          <w:lang w:val="en-US" w:eastAsia="zh-CN"/>
        </w:rPr>
        <w:t>内乡县市场发展服务中心</w:t>
      </w:r>
      <w:r>
        <w:rPr>
          <w:rFonts w:hint="eastAsia" w:ascii="宋体" w:hAnsi="宋体" w:eastAsia="宋体" w:cs="宋体"/>
          <w:color w:val="333333"/>
          <w:sz w:val="30"/>
          <w:szCs w:val="30"/>
        </w:rPr>
        <w:t>2019年收入总计464.3万元，其中：一般公共预算464.3万元；政府性基金收入0万</w:t>
      </w:r>
      <w:r>
        <w:rPr>
          <w:rFonts w:hint="eastAsia" w:ascii="宋体" w:hAnsi="宋体" w:eastAsia="宋体" w:cs="宋体"/>
          <w:color w:val="333333"/>
          <w:sz w:val="30"/>
          <w:szCs w:val="30"/>
          <w:lang w:eastAsia="zh-CN"/>
        </w:rPr>
        <w:t>，</w:t>
      </w:r>
      <w:r>
        <w:rPr>
          <w:rFonts w:hint="eastAsia" w:ascii="宋体" w:hAnsi="宋体" w:eastAsia="宋体" w:cs="宋体"/>
          <w:color w:val="333333"/>
          <w:sz w:val="30"/>
          <w:szCs w:val="30"/>
          <w:lang w:val="en-US" w:eastAsia="zh-CN"/>
        </w:rPr>
        <w:t>专户管理的教育收费0万元，财政性资金结转0万元</w:t>
      </w:r>
      <w:r>
        <w:rPr>
          <w:rFonts w:hint="eastAsia" w:ascii="宋体" w:hAnsi="宋体" w:eastAsia="宋体" w:cs="宋体"/>
          <w:color w:val="333333"/>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ascii="宋体" w:hAnsi="宋体" w:eastAsia="宋体" w:cs="宋体"/>
          <w:color w:val="333333"/>
          <w:sz w:val="30"/>
          <w:szCs w:val="30"/>
        </w:rPr>
      </w:pPr>
      <w:r>
        <w:rPr>
          <w:rFonts w:hint="eastAsia" w:ascii="宋体" w:hAnsi="宋体" w:eastAsia="宋体" w:cs="宋体"/>
          <w:b/>
          <w:bCs/>
          <w:color w:val="333333"/>
          <w:sz w:val="30"/>
          <w:szCs w:val="30"/>
        </w:rPr>
        <w:t>三、支出预算总体情况说明</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ascii="宋体" w:hAnsi="宋体" w:eastAsia="宋体" w:cs="宋体"/>
          <w:color w:val="333333"/>
          <w:sz w:val="30"/>
          <w:szCs w:val="30"/>
        </w:rPr>
      </w:pPr>
      <w:r>
        <w:rPr>
          <w:rFonts w:hint="eastAsia" w:ascii="宋体" w:hAnsi="宋体" w:eastAsia="宋体" w:cs="宋体"/>
          <w:color w:val="333333"/>
          <w:sz w:val="30"/>
          <w:szCs w:val="30"/>
          <w:lang w:val="en-US" w:eastAsia="zh-CN"/>
        </w:rPr>
        <w:t>内乡县市场发展服务中心</w:t>
      </w:r>
      <w:r>
        <w:rPr>
          <w:rFonts w:hint="eastAsia" w:ascii="宋体" w:hAnsi="宋体" w:eastAsia="宋体" w:cs="宋体"/>
          <w:color w:val="333333"/>
          <w:sz w:val="30"/>
          <w:szCs w:val="30"/>
        </w:rPr>
        <w:t>2019年支出</w:t>
      </w:r>
      <w:r>
        <w:rPr>
          <w:rFonts w:hint="eastAsia" w:ascii="宋体" w:hAnsi="宋体" w:eastAsia="宋体" w:cs="宋体"/>
          <w:color w:val="333333"/>
          <w:sz w:val="30"/>
          <w:szCs w:val="30"/>
          <w:lang w:val="en-US" w:eastAsia="zh-CN"/>
        </w:rPr>
        <w:t>合</w:t>
      </w:r>
      <w:r>
        <w:rPr>
          <w:rFonts w:hint="eastAsia" w:ascii="宋体" w:hAnsi="宋体" w:eastAsia="宋体" w:cs="宋体"/>
          <w:color w:val="333333"/>
          <w:sz w:val="30"/>
          <w:szCs w:val="30"/>
        </w:rPr>
        <w:t>计464.3万元，其中：基本支出433.3万元，占93.3%；项目支出31万元，占6.7%。</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ascii="宋体" w:hAnsi="宋体" w:eastAsia="宋体" w:cs="宋体"/>
          <w:color w:val="333333"/>
          <w:sz w:val="30"/>
          <w:szCs w:val="30"/>
        </w:rPr>
      </w:pPr>
      <w:r>
        <w:rPr>
          <w:rFonts w:hint="eastAsia" w:ascii="宋体" w:hAnsi="宋体" w:eastAsia="宋体" w:cs="宋体"/>
          <w:b/>
          <w:bCs/>
          <w:color w:val="333333"/>
          <w:sz w:val="30"/>
          <w:szCs w:val="30"/>
        </w:rPr>
        <w:t>四、财政拨款收入支出预算总体情况说明</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ascii="宋体" w:hAnsi="宋体" w:eastAsia="宋体" w:cs="宋体"/>
          <w:color w:val="333333"/>
          <w:sz w:val="30"/>
          <w:szCs w:val="30"/>
        </w:rPr>
      </w:pPr>
      <w:r>
        <w:rPr>
          <w:rFonts w:hint="eastAsia" w:ascii="宋体" w:hAnsi="宋体" w:eastAsia="宋体" w:cs="宋体"/>
          <w:color w:val="333333"/>
          <w:sz w:val="30"/>
          <w:szCs w:val="30"/>
          <w:lang w:val="en-US" w:eastAsia="zh-CN"/>
        </w:rPr>
        <w:t>内乡县市场发展服务中心</w:t>
      </w:r>
      <w:r>
        <w:rPr>
          <w:rFonts w:hint="eastAsia" w:ascii="宋体" w:hAnsi="宋体" w:eastAsia="宋体" w:cs="宋体"/>
          <w:color w:val="333333"/>
          <w:sz w:val="30"/>
          <w:szCs w:val="30"/>
        </w:rPr>
        <w:t>2019年财政拨款收入</w:t>
      </w:r>
      <w:r>
        <w:rPr>
          <w:rFonts w:hint="eastAsia" w:ascii="宋体" w:hAnsi="宋体" w:eastAsia="宋体" w:cs="宋体"/>
          <w:color w:val="333333"/>
          <w:sz w:val="30"/>
          <w:szCs w:val="30"/>
          <w:lang w:val="en-US" w:eastAsia="zh-CN"/>
        </w:rPr>
        <w:t>预算</w:t>
      </w:r>
      <w:r>
        <w:rPr>
          <w:rFonts w:hint="eastAsia" w:ascii="宋体" w:hAnsi="宋体" w:eastAsia="宋体" w:cs="宋体"/>
          <w:color w:val="333333"/>
          <w:sz w:val="30"/>
          <w:szCs w:val="30"/>
        </w:rPr>
        <w:t>433.3万元，支出</w:t>
      </w:r>
      <w:r>
        <w:rPr>
          <w:rFonts w:hint="eastAsia" w:ascii="宋体" w:hAnsi="宋体" w:eastAsia="宋体" w:cs="宋体"/>
          <w:color w:val="333333"/>
          <w:sz w:val="30"/>
          <w:szCs w:val="30"/>
          <w:lang w:val="en-US" w:eastAsia="zh-CN"/>
        </w:rPr>
        <w:t>预算</w:t>
      </w:r>
      <w:r>
        <w:rPr>
          <w:rFonts w:hint="eastAsia" w:ascii="宋体" w:hAnsi="宋体" w:eastAsia="宋体" w:cs="宋体"/>
          <w:color w:val="333333"/>
          <w:sz w:val="30"/>
          <w:szCs w:val="30"/>
        </w:rPr>
        <w:t>433.3万元；</w:t>
      </w:r>
      <w:r>
        <w:rPr>
          <w:rFonts w:hint="eastAsia" w:ascii="宋体" w:hAnsi="宋体" w:eastAsia="宋体" w:cs="宋体"/>
          <w:color w:val="333333"/>
          <w:sz w:val="30"/>
          <w:szCs w:val="30"/>
          <w:lang w:val="en-US" w:eastAsia="zh-CN"/>
        </w:rPr>
        <w:t>与上年</w:t>
      </w:r>
      <w:r>
        <w:rPr>
          <w:rFonts w:hint="eastAsia" w:ascii="宋体" w:hAnsi="宋体" w:eastAsia="宋体" w:cs="宋体"/>
          <w:color w:val="333333"/>
          <w:sz w:val="30"/>
          <w:szCs w:val="30"/>
        </w:rPr>
        <w:t>相比，</w:t>
      </w:r>
      <w:r>
        <w:rPr>
          <w:rFonts w:hint="eastAsia" w:ascii="宋体" w:hAnsi="宋体" w:eastAsia="宋体" w:cs="宋体"/>
          <w:color w:val="333333"/>
          <w:sz w:val="30"/>
          <w:szCs w:val="30"/>
          <w:lang w:val="en-US" w:eastAsia="zh-CN"/>
        </w:rPr>
        <w:t>财政拨款收支预算</w:t>
      </w:r>
      <w:r>
        <w:rPr>
          <w:rFonts w:hint="eastAsia" w:ascii="宋体" w:hAnsi="宋体" w:eastAsia="宋体" w:cs="宋体"/>
          <w:color w:val="333333"/>
          <w:sz w:val="30"/>
          <w:szCs w:val="30"/>
        </w:rPr>
        <w:t>增加94.8万元，增长28%。</w:t>
      </w:r>
      <w:r>
        <w:rPr>
          <w:rFonts w:hint="eastAsia" w:ascii="宋体" w:hAnsi="宋体" w:eastAsia="宋体" w:cs="宋体"/>
          <w:color w:val="333333"/>
          <w:sz w:val="30"/>
          <w:szCs w:val="30"/>
          <w:lang w:val="en-US" w:eastAsia="zh-CN"/>
        </w:rPr>
        <w:t>主要原因：社保费用及工资上涨</w:t>
      </w:r>
      <w:r>
        <w:rPr>
          <w:rFonts w:hint="eastAsia" w:ascii="宋体" w:hAnsi="宋体" w:eastAsia="宋体" w:cs="宋体"/>
          <w:color w:val="333333"/>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ascii="宋体" w:hAnsi="宋体" w:eastAsia="宋体" w:cs="宋体"/>
          <w:b/>
          <w:bCs/>
          <w:color w:val="333333"/>
          <w:sz w:val="30"/>
          <w:szCs w:val="30"/>
        </w:rPr>
      </w:pPr>
      <w:r>
        <w:rPr>
          <w:rFonts w:hint="eastAsia" w:ascii="宋体" w:hAnsi="宋体" w:eastAsia="宋体" w:cs="宋体"/>
          <w:b/>
          <w:bCs/>
          <w:color w:val="333333"/>
          <w:sz w:val="30"/>
          <w:szCs w:val="30"/>
        </w:rPr>
        <w:t>五、一般公共预算支出预算情况说明</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640"/>
        <w:jc w:val="both"/>
        <w:textAlignment w:val="auto"/>
        <w:rPr>
          <w:rFonts w:ascii="宋体" w:hAnsi="宋体" w:eastAsia="宋体" w:cs="宋体"/>
          <w:color w:val="333333"/>
          <w:sz w:val="30"/>
          <w:szCs w:val="30"/>
        </w:rPr>
      </w:pPr>
      <w:r>
        <w:rPr>
          <w:rFonts w:hint="eastAsia" w:ascii="宋体" w:hAnsi="宋体" w:eastAsia="宋体" w:cs="宋体"/>
          <w:color w:val="333333"/>
          <w:sz w:val="30"/>
          <w:szCs w:val="30"/>
          <w:lang w:val="en-US" w:eastAsia="zh-CN"/>
        </w:rPr>
        <w:t>内乡县市场发展服务中心</w:t>
      </w:r>
      <w:r>
        <w:rPr>
          <w:rFonts w:hint="eastAsia" w:ascii="宋体" w:hAnsi="宋体" w:eastAsia="宋体" w:cs="宋体"/>
          <w:color w:val="333333"/>
          <w:sz w:val="30"/>
          <w:szCs w:val="30"/>
        </w:rPr>
        <w:t>2019年一般公共预算支出年初预算</w:t>
      </w:r>
      <w:r>
        <w:rPr>
          <w:rFonts w:hint="eastAsia" w:ascii="宋体" w:hAnsi="宋体" w:eastAsia="宋体" w:cs="宋体"/>
          <w:color w:val="333333"/>
          <w:sz w:val="30"/>
          <w:szCs w:val="30"/>
          <w:lang w:val="en-US" w:eastAsia="zh-CN"/>
        </w:rPr>
        <w:t>为</w:t>
      </w:r>
      <w:r>
        <w:rPr>
          <w:rFonts w:hint="eastAsia" w:ascii="宋体" w:hAnsi="宋体" w:eastAsia="宋体" w:cs="宋体"/>
          <w:color w:val="333333"/>
          <w:sz w:val="30"/>
          <w:szCs w:val="30"/>
        </w:rPr>
        <w:t>445.3万元。主要用于</w:t>
      </w:r>
      <w:r>
        <w:rPr>
          <w:rFonts w:hint="eastAsia" w:ascii="宋体" w:hAnsi="宋体" w:eastAsia="宋体" w:cs="宋体"/>
          <w:color w:val="333333"/>
          <w:sz w:val="30"/>
          <w:szCs w:val="30"/>
          <w:lang w:val="en-US" w:eastAsia="zh-CN"/>
        </w:rPr>
        <w:t>以下方面：其他一般公共服务（类）</w:t>
      </w:r>
      <w:r>
        <w:rPr>
          <w:rFonts w:hint="eastAsia" w:ascii="宋体" w:hAnsi="宋体" w:eastAsia="宋体" w:cs="宋体"/>
          <w:color w:val="333333"/>
          <w:sz w:val="30"/>
          <w:szCs w:val="30"/>
        </w:rPr>
        <w:t>支出433.3万元，占97.3%；项目支出12万元，占2.7%。</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left="660" w:leftChars="300"/>
        <w:jc w:val="both"/>
        <w:textAlignment w:val="auto"/>
        <w:rPr>
          <w:rFonts w:hint="default" w:ascii="宋体" w:hAnsi="宋体" w:eastAsia="宋体" w:cs="宋体"/>
          <w:b/>
          <w:bCs/>
          <w:color w:val="333333"/>
          <w:sz w:val="28"/>
          <w:szCs w:val="28"/>
          <w:lang w:val="en-US" w:eastAsia="zh-CN"/>
        </w:rPr>
      </w:pPr>
      <w:r>
        <w:rPr>
          <w:rFonts w:hint="eastAsia" w:ascii="宋体" w:hAnsi="宋体" w:eastAsia="宋体" w:cs="宋体"/>
          <w:b/>
          <w:bCs/>
          <w:color w:val="333333"/>
          <w:sz w:val="28"/>
          <w:szCs w:val="28"/>
        </w:rPr>
        <w:t>六、</w:t>
      </w:r>
      <w:r>
        <w:rPr>
          <w:rFonts w:hint="eastAsia" w:ascii="宋体" w:hAnsi="宋体" w:eastAsia="宋体" w:cs="宋体"/>
          <w:b/>
          <w:bCs/>
          <w:color w:val="333333"/>
          <w:sz w:val="28"/>
          <w:szCs w:val="28"/>
          <w:lang w:val="en-US" w:eastAsia="zh-CN"/>
        </w:rPr>
        <w:t>支出预算经济分类情况说明</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w:t>
      </w:r>
      <w:r>
        <w:rPr>
          <w:rFonts w:hint="eastAsia" w:ascii="宋体" w:hAnsi="宋体" w:eastAsia="宋体" w:cs="宋体"/>
          <w:color w:val="333333"/>
          <w:sz w:val="30"/>
          <w:szCs w:val="30"/>
          <w:lang w:eastAsia="zh-CN"/>
        </w:rPr>
        <w:t>我中心</w:t>
      </w:r>
      <w:r>
        <w:rPr>
          <w:rFonts w:hint="eastAsia" w:ascii="宋体" w:hAnsi="宋体" w:eastAsia="宋体" w:cs="宋体"/>
          <w:color w:val="333333"/>
          <w:sz w:val="30"/>
          <w:szCs w:val="30"/>
        </w:rPr>
        <w:t>《支出经济分类汇总表》</w:t>
      </w:r>
      <w:r>
        <w:rPr>
          <w:rFonts w:hint="eastAsia" w:ascii="宋体" w:hAnsi="宋体" w:eastAsia="宋体" w:cs="宋体"/>
          <w:color w:val="333333"/>
          <w:sz w:val="30"/>
          <w:szCs w:val="30"/>
          <w:lang w:eastAsia="zh-CN"/>
        </w:rPr>
        <w:t>，</w:t>
      </w:r>
      <w:r>
        <w:rPr>
          <w:rFonts w:hint="eastAsia" w:ascii="宋体" w:hAnsi="宋体" w:eastAsia="宋体" w:cs="宋体"/>
          <w:color w:val="333333"/>
          <w:sz w:val="30"/>
          <w:szCs w:val="30"/>
        </w:rPr>
        <w:t>按两套经济分类科目分别反映不同资金来源的全部预算支出。</w:t>
      </w:r>
    </w:p>
    <w:p>
      <w:pPr>
        <w:keepNext w:val="0"/>
        <w:keepLines w:val="0"/>
        <w:pageBreakBefore w:val="0"/>
        <w:widowControl/>
        <w:kinsoku/>
        <w:wordWrap/>
        <w:overflowPunct/>
        <w:topLinePunct w:val="0"/>
        <w:autoSpaceDE/>
        <w:autoSpaceDN/>
        <w:bidi w:val="0"/>
        <w:adjustRightInd w:val="0"/>
        <w:snapToGrid w:val="0"/>
        <w:spacing w:line="520" w:lineRule="exact"/>
        <w:ind w:firstLine="600" w:firstLineChars="200"/>
        <w:textAlignment w:val="auto"/>
        <w:outlineLvl w:val="9"/>
        <w:rPr>
          <w:rFonts w:hint="eastAsia" w:asciiTheme="minorEastAsia" w:hAnsiTheme="minorEastAsia" w:eastAsiaTheme="minorEastAsia" w:cstheme="minorEastAsia"/>
          <w:sz w:val="30"/>
          <w:szCs w:val="30"/>
          <w:highlight w:val="none"/>
          <w:lang w:val="en-US" w:eastAsia="zh-CN"/>
        </w:rPr>
      </w:pPr>
      <w:r>
        <w:rPr>
          <w:rFonts w:hint="eastAsia" w:asciiTheme="minorEastAsia" w:hAnsiTheme="minorEastAsia" w:eastAsiaTheme="minorEastAsia" w:cstheme="minorEastAsia"/>
          <w:sz w:val="30"/>
          <w:szCs w:val="30"/>
          <w:highlight w:val="none"/>
          <w:lang w:val="en-US" w:eastAsia="zh-CN"/>
        </w:rPr>
        <w:t>我单位2019年一般公共预算基本支出433.3万元，其中：人员经费432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1.3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ind w:firstLine="602" w:firstLineChars="200"/>
        <w:rPr>
          <w:rFonts w:ascii="宋体" w:hAnsi="宋体" w:eastAsia="宋体" w:cs="宋体"/>
          <w:b/>
          <w:bCs/>
          <w:color w:val="333333"/>
          <w:sz w:val="30"/>
          <w:szCs w:val="30"/>
        </w:rPr>
      </w:pPr>
      <w:r>
        <w:rPr>
          <w:rFonts w:hint="eastAsia" w:ascii="宋体" w:hAnsi="宋体" w:eastAsia="宋体" w:cs="宋体"/>
          <w:b/>
          <w:bCs/>
          <w:color w:val="333333"/>
          <w:sz w:val="30"/>
          <w:szCs w:val="30"/>
        </w:rPr>
        <w:t>七、政府性基金预算支出情况说明</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lang w:val="en-US"/>
        </w:rPr>
      </w:pPr>
      <w:r>
        <w:rPr>
          <w:rFonts w:hint="eastAsia" w:asciiTheme="minorEastAsia" w:hAnsiTheme="minorEastAsia" w:eastAsiaTheme="minorEastAsia" w:cstheme="minorEastAsia"/>
          <w:color w:val="333333"/>
          <w:sz w:val="30"/>
          <w:szCs w:val="30"/>
          <w:lang w:val="en-US" w:eastAsia="zh-CN"/>
        </w:rPr>
        <w:t>我中心2019年无使用政府性基金预算拨款安排的支出。</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b/>
          <w:bCs/>
          <w:color w:val="333333"/>
          <w:sz w:val="30"/>
          <w:szCs w:val="30"/>
        </w:rPr>
        <w:t>八、“三公”经费支出预算情况说明</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lang w:val="en-US" w:eastAsia="zh-CN"/>
        </w:rPr>
        <w:t>我中心</w:t>
      </w:r>
      <w:r>
        <w:rPr>
          <w:rFonts w:hint="eastAsia" w:asciiTheme="minorEastAsia" w:hAnsiTheme="minorEastAsia" w:eastAsiaTheme="minorEastAsia" w:cstheme="minorEastAsia"/>
          <w:color w:val="333333"/>
          <w:sz w:val="30"/>
          <w:szCs w:val="30"/>
        </w:rPr>
        <w:t>2019年“三公”经费预算为0万元,较上年持平。</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lang w:val="en-US" w:eastAsia="zh-CN"/>
        </w:rPr>
      </w:pPr>
      <w:r>
        <w:rPr>
          <w:rFonts w:hint="eastAsia" w:asciiTheme="minorEastAsia" w:hAnsiTheme="minorEastAsia" w:eastAsiaTheme="minorEastAsia" w:cstheme="minorEastAsia"/>
          <w:color w:val="333333"/>
          <w:sz w:val="30"/>
          <w:szCs w:val="30"/>
          <w:lang w:val="en-US" w:eastAsia="zh-CN"/>
        </w:rPr>
        <w:t>具体支出情况如下：</w:t>
      </w:r>
    </w:p>
    <w:p>
      <w:pPr>
        <w:widowControl/>
        <w:spacing w:line="450" w:lineRule="atLeast"/>
        <w:ind w:firstLine="600" w:firstLineChars="200"/>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lang w:eastAsia="zh-CN"/>
        </w:rPr>
        <w:t>（一）</w:t>
      </w:r>
      <w:r>
        <w:rPr>
          <w:rFonts w:hint="eastAsia" w:asciiTheme="minorEastAsia" w:hAnsiTheme="minorEastAsia" w:eastAsiaTheme="minorEastAsia" w:cstheme="minorEastAsia"/>
          <w:color w:val="333333"/>
          <w:sz w:val="30"/>
          <w:szCs w:val="30"/>
        </w:rPr>
        <w:t>因公出国（境）费0万元</w:t>
      </w:r>
      <w:r>
        <w:rPr>
          <w:rFonts w:hint="eastAsia" w:asciiTheme="minorEastAsia" w:hAnsiTheme="minorEastAsia" w:eastAsiaTheme="minorEastAsia" w:cstheme="minorEastAsia"/>
          <w:color w:val="333333"/>
          <w:sz w:val="30"/>
          <w:szCs w:val="30"/>
          <w:lang w:eastAsia="zh-CN"/>
        </w:rPr>
        <w:t>，</w:t>
      </w:r>
      <w:r>
        <w:rPr>
          <w:rFonts w:hint="eastAsia" w:asciiTheme="minorEastAsia" w:hAnsiTheme="minorEastAsia" w:eastAsiaTheme="minorEastAsia" w:cstheme="minorEastAsia"/>
          <w:sz w:val="30"/>
          <w:szCs w:val="30"/>
        </w:rPr>
        <w:t>主要用于单位工作人员公务出国（境）的住宿费、旅费、伙食补助费、杂费、培训费等支出。预算数与201</w:t>
      </w:r>
      <w:r>
        <w:rPr>
          <w:rFonts w:hint="eastAsia" w:asciiTheme="minorEastAsia" w:hAnsiTheme="minorEastAsia" w:eastAsiaTheme="minorEastAsia" w:cstheme="minorEastAsia"/>
          <w:sz w:val="30"/>
          <w:szCs w:val="30"/>
          <w:lang w:val="en-US" w:eastAsia="zh-CN"/>
        </w:rPr>
        <w:t>8</w:t>
      </w:r>
      <w:r>
        <w:rPr>
          <w:rFonts w:hint="eastAsia" w:asciiTheme="minorEastAsia" w:hAnsiTheme="minorEastAsia" w:eastAsiaTheme="minorEastAsia" w:cstheme="minorEastAsia"/>
          <w:sz w:val="30"/>
          <w:szCs w:val="30"/>
        </w:rPr>
        <w:t>年持平。</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after="0" w:line="560" w:lineRule="exact"/>
        <w:jc w:val="both"/>
        <w:textAlignment w:val="auto"/>
        <w:rPr>
          <w:rFonts w:hint="eastAsia" w:asciiTheme="minorEastAsia" w:hAnsiTheme="minorEastAsia" w:eastAsiaTheme="minorEastAsia" w:cstheme="minorEastAsia"/>
          <w:color w:val="333333"/>
          <w:sz w:val="30"/>
          <w:szCs w:val="30"/>
          <w:lang w:eastAsia="zh-CN"/>
        </w:rPr>
      </w:pPr>
      <w:r>
        <w:rPr>
          <w:rFonts w:hint="eastAsia" w:asciiTheme="minorEastAsia" w:hAnsiTheme="minorEastAsia" w:eastAsiaTheme="minorEastAsia" w:cstheme="minorEastAsia"/>
          <w:color w:val="333333"/>
          <w:sz w:val="30"/>
          <w:szCs w:val="30"/>
          <w:lang w:eastAsia="zh-CN"/>
        </w:rPr>
        <w:t>（二）</w:t>
      </w:r>
      <w:r>
        <w:rPr>
          <w:rFonts w:hint="eastAsia" w:asciiTheme="minorEastAsia" w:hAnsiTheme="minorEastAsia" w:eastAsiaTheme="minorEastAsia" w:cstheme="minorEastAsia"/>
          <w:color w:val="333333"/>
          <w:sz w:val="30"/>
          <w:szCs w:val="30"/>
        </w:rPr>
        <w:t>公务用车购置</w:t>
      </w:r>
      <w:r>
        <w:rPr>
          <w:rFonts w:hint="eastAsia" w:asciiTheme="minorEastAsia" w:hAnsiTheme="minorEastAsia" w:eastAsiaTheme="minorEastAsia" w:cstheme="minorEastAsia"/>
          <w:color w:val="333333"/>
          <w:sz w:val="30"/>
          <w:szCs w:val="30"/>
          <w:lang w:val="en-US" w:eastAsia="zh-CN"/>
        </w:rPr>
        <w:t>及运行费</w:t>
      </w:r>
      <w:r>
        <w:rPr>
          <w:rFonts w:hint="eastAsia" w:asciiTheme="minorEastAsia" w:hAnsiTheme="minorEastAsia" w:eastAsiaTheme="minorEastAsia" w:cstheme="minorEastAsia"/>
          <w:color w:val="333333"/>
          <w:sz w:val="30"/>
          <w:szCs w:val="30"/>
        </w:rPr>
        <w:t>0万元</w:t>
      </w:r>
      <w:r>
        <w:rPr>
          <w:rFonts w:hint="eastAsia" w:asciiTheme="minorEastAsia" w:hAnsiTheme="minorEastAsia" w:eastAsiaTheme="minorEastAsia" w:cstheme="minorEastAsia"/>
          <w:color w:val="333333"/>
          <w:sz w:val="30"/>
          <w:szCs w:val="30"/>
          <w:lang w:eastAsia="zh-CN"/>
        </w:rPr>
        <w:t>，</w:t>
      </w:r>
      <w:r>
        <w:rPr>
          <w:rFonts w:hint="eastAsia" w:asciiTheme="minorEastAsia" w:hAnsiTheme="minorEastAsia" w:eastAsiaTheme="minorEastAsia" w:cstheme="minorEastAsia"/>
          <w:color w:val="333333"/>
          <w:sz w:val="30"/>
          <w:szCs w:val="30"/>
          <w:lang w:val="en-US" w:eastAsia="zh-CN"/>
        </w:rPr>
        <w:t>其中，公务用车购置费0万元；公务用车运行维护费0万元，主要用于开展工作所需公务用车的燃料费、维修费、过路过桥费、保险费、安全奖励费用等支出。公务用车购置费预算数比上年持平。</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after="0" w:line="560" w:lineRule="exact"/>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lang w:eastAsia="zh-CN"/>
        </w:rPr>
        <w:t>（三）</w:t>
      </w:r>
      <w:r>
        <w:rPr>
          <w:rFonts w:hint="eastAsia" w:asciiTheme="minorEastAsia" w:hAnsiTheme="minorEastAsia" w:eastAsiaTheme="minorEastAsia" w:cstheme="minorEastAsia"/>
          <w:color w:val="333333"/>
          <w:sz w:val="30"/>
          <w:szCs w:val="30"/>
        </w:rPr>
        <w:t>公务接待费0万元</w:t>
      </w:r>
      <w:r>
        <w:rPr>
          <w:rFonts w:hint="eastAsia" w:asciiTheme="minorEastAsia" w:hAnsiTheme="minorEastAsia" w:eastAsiaTheme="minorEastAsia" w:cstheme="minorEastAsia"/>
          <w:color w:val="333333"/>
          <w:sz w:val="30"/>
          <w:szCs w:val="30"/>
          <w:lang w:eastAsia="zh-CN"/>
        </w:rPr>
        <w:t>，</w:t>
      </w:r>
      <w:r>
        <w:rPr>
          <w:rFonts w:hint="eastAsia" w:asciiTheme="minorEastAsia" w:hAnsiTheme="minorEastAsia" w:eastAsiaTheme="minorEastAsia" w:cstheme="minorEastAsia"/>
          <w:color w:val="333333"/>
          <w:sz w:val="30"/>
          <w:szCs w:val="30"/>
          <w:lang w:val="en-US" w:eastAsia="zh-CN"/>
        </w:rPr>
        <w:t>主要用于按规定开支的各类公务接待（含外宾接待）支出。预算数比上年持平。</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b/>
          <w:bCs/>
          <w:color w:val="333333"/>
          <w:sz w:val="30"/>
          <w:szCs w:val="30"/>
        </w:rPr>
      </w:pPr>
      <w:r>
        <w:rPr>
          <w:rFonts w:hint="eastAsia" w:asciiTheme="minorEastAsia" w:hAnsiTheme="minorEastAsia" w:eastAsiaTheme="minorEastAsia" w:cstheme="minorEastAsia"/>
          <w:b/>
          <w:bCs/>
          <w:color w:val="333333"/>
          <w:sz w:val="30"/>
          <w:szCs w:val="30"/>
          <w:lang w:val="en-US" w:eastAsia="zh-CN"/>
        </w:rPr>
        <w:t>九、</w:t>
      </w:r>
      <w:r>
        <w:rPr>
          <w:rFonts w:hint="eastAsia" w:asciiTheme="minorEastAsia" w:hAnsiTheme="minorEastAsia" w:eastAsiaTheme="minorEastAsia" w:cstheme="minorEastAsia"/>
          <w:b/>
          <w:bCs/>
          <w:color w:val="333333"/>
          <w:sz w:val="30"/>
          <w:szCs w:val="30"/>
        </w:rPr>
        <w:t>其他重要事项情况说明</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b/>
          <w:bCs/>
          <w:color w:val="333333"/>
          <w:sz w:val="30"/>
          <w:szCs w:val="30"/>
        </w:rPr>
      </w:pPr>
      <w:r>
        <w:rPr>
          <w:rFonts w:hint="eastAsia" w:asciiTheme="minorEastAsia" w:hAnsiTheme="minorEastAsia" w:eastAsiaTheme="minorEastAsia" w:cstheme="minorEastAsia"/>
          <w:b/>
          <w:bCs/>
          <w:color w:val="333333"/>
          <w:sz w:val="30"/>
          <w:szCs w:val="30"/>
        </w:rPr>
        <w:t>（一）机关运行经费支出情况</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lang w:val="en-US" w:eastAsia="zh-CN"/>
        </w:rPr>
        <w:t>内乡县市场发展服务中心</w:t>
      </w:r>
      <w:r>
        <w:rPr>
          <w:rFonts w:hint="eastAsia" w:asciiTheme="minorEastAsia" w:hAnsiTheme="minorEastAsia" w:eastAsiaTheme="minorEastAsia" w:cstheme="minorEastAsia"/>
          <w:color w:val="333333"/>
          <w:sz w:val="30"/>
          <w:szCs w:val="30"/>
        </w:rPr>
        <w:t>2019年机关运行经费支出预算</w:t>
      </w:r>
      <w:r>
        <w:rPr>
          <w:rFonts w:hint="eastAsia" w:asciiTheme="minorEastAsia" w:hAnsiTheme="minorEastAsia" w:eastAsiaTheme="minorEastAsia" w:cstheme="minorEastAsia"/>
          <w:color w:val="333333"/>
          <w:sz w:val="30"/>
          <w:szCs w:val="30"/>
          <w:lang w:val="en-US" w:eastAsia="zh-CN"/>
        </w:rPr>
        <w:t>0</w:t>
      </w:r>
      <w:r>
        <w:rPr>
          <w:rFonts w:hint="eastAsia" w:asciiTheme="minorEastAsia" w:hAnsiTheme="minorEastAsia" w:eastAsiaTheme="minorEastAsia" w:cstheme="minorEastAsia"/>
          <w:color w:val="333333"/>
          <w:sz w:val="30"/>
          <w:szCs w:val="30"/>
        </w:rPr>
        <w:t>万元，主要</w:t>
      </w:r>
      <w:r>
        <w:rPr>
          <w:rFonts w:hint="eastAsia" w:asciiTheme="minorEastAsia" w:hAnsiTheme="minorEastAsia" w:eastAsiaTheme="minorEastAsia" w:cstheme="minorEastAsia"/>
          <w:color w:val="333333"/>
          <w:sz w:val="30"/>
          <w:szCs w:val="30"/>
          <w:lang w:val="en-US" w:eastAsia="zh-CN"/>
        </w:rPr>
        <w:t>用于</w:t>
      </w:r>
      <w:r>
        <w:rPr>
          <w:rFonts w:hint="eastAsia" w:asciiTheme="minorEastAsia" w:hAnsiTheme="minorEastAsia" w:eastAsiaTheme="minorEastAsia" w:cstheme="minorEastAsia"/>
          <w:color w:val="333333"/>
          <w:sz w:val="30"/>
          <w:szCs w:val="30"/>
        </w:rPr>
        <w:t>保障机构正常运转及正常履职需要。</w:t>
      </w:r>
      <w:r>
        <w:rPr>
          <w:rFonts w:hint="eastAsia" w:asciiTheme="minorEastAsia" w:hAnsiTheme="minorEastAsia" w:eastAsiaTheme="minorEastAsia" w:cstheme="minorEastAsia"/>
          <w:color w:val="333333"/>
          <w:sz w:val="30"/>
          <w:szCs w:val="30"/>
          <w:lang w:val="en-US" w:eastAsia="zh-CN"/>
        </w:rPr>
        <w:t>我中心是事业差补单位，财政不予拨款。</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301" w:firstLineChars="100"/>
        <w:jc w:val="both"/>
        <w:textAlignment w:val="auto"/>
        <w:rPr>
          <w:rFonts w:hint="eastAsia" w:asciiTheme="minorEastAsia" w:hAnsiTheme="minorEastAsia" w:eastAsiaTheme="minorEastAsia" w:cstheme="minorEastAsia"/>
          <w:b/>
          <w:bCs/>
          <w:color w:val="333333"/>
          <w:sz w:val="30"/>
          <w:szCs w:val="30"/>
        </w:rPr>
      </w:pPr>
      <w:r>
        <w:rPr>
          <w:rFonts w:hint="eastAsia" w:asciiTheme="minorEastAsia" w:hAnsiTheme="minorEastAsia" w:eastAsiaTheme="minorEastAsia" w:cstheme="minorEastAsia"/>
          <w:b/>
          <w:bCs/>
          <w:color w:val="333333"/>
          <w:sz w:val="30"/>
          <w:szCs w:val="30"/>
        </w:rPr>
        <w:t>（二）政府采购支出情况</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lang w:val="en-US" w:eastAsia="zh-CN"/>
        </w:rPr>
        <w:t>我中心</w:t>
      </w:r>
      <w:r>
        <w:rPr>
          <w:rFonts w:hint="eastAsia" w:asciiTheme="minorEastAsia" w:hAnsiTheme="minorEastAsia" w:eastAsiaTheme="minorEastAsia" w:cstheme="minorEastAsia"/>
          <w:color w:val="333333"/>
          <w:sz w:val="30"/>
          <w:szCs w:val="30"/>
        </w:rPr>
        <w:t>2019年政府采购预算安排0万元。其中</w:t>
      </w:r>
      <w:r>
        <w:rPr>
          <w:rFonts w:hint="eastAsia" w:asciiTheme="minorEastAsia" w:hAnsiTheme="minorEastAsia" w:eastAsiaTheme="minorEastAsia" w:cstheme="minorEastAsia"/>
          <w:color w:val="333333"/>
          <w:sz w:val="30"/>
          <w:szCs w:val="30"/>
          <w:lang w:eastAsia="zh-CN"/>
        </w:rPr>
        <w:t>：</w:t>
      </w:r>
      <w:r>
        <w:rPr>
          <w:rFonts w:hint="eastAsia" w:asciiTheme="minorEastAsia" w:hAnsiTheme="minorEastAsia" w:eastAsiaTheme="minorEastAsia" w:cstheme="minorEastAsia"/>
          <w:color w:val="333333"/>
          <w:sz w:val="30"/>
          <w:szCs w:val="30"/>
          <w:lang w:val="en-US" w:eastAsia="zh-CN"/>
        </w:rPr>
        <w:t>政府采购</w:t>
      </w:r>
      <w:r>
        <w:rPr>
          <w:rFonts w:hint="eastAsia" w:asciiTheme="minorEastAsia" w:hAnsiTheme="minorEastAsia" w:eastAsiaTheme="minorEastAsia" w:cstheme="minorEastAsia"/>
          <w:color w:val="333333"/>
          <w:sz w:val="30"/>
          <w:szCs w:val="30"/>
        </w:rPr>
        <w:t>货物</w:t>
      </w:r>
      <w:r>
        <w:rPr>
          <w:rFonts w:hint="eastAsia" w:asciiTheme="minorEastAsia" w:hAnsiTheme="minorEastAsia" w:eastAsiaTheme="minorEastAsia" w:cstheme="minorEastAsia"/>
          <w:color w:val="333333"/>
          <w:sz w:val="30"/>
          <w:szCs w:val="30"/>
          <w:lang w:val="en-US" w:eastAsia="zh-CN"/>
        </w:rPr>
        <w:t>预算</w:t>
      </w:r>
      <w:r>
        <w:rPr>
          <w:rFonts w:hint="eastAsia" w:asciiTheme="minorEastAsia" w:hAnsiTheme="minorEastAsia" w:eastAsiaTheme="minorEastAsia" w:cstheme="minorEastAsia"/>
          <w:color w:val="333333"/>
          <w:sz w:val="30"/>
          <w:szCs w:val="30"/>
        </w:rPr>
        <w:t>0万元，</w:t>
      </w:r>
      <w:r>
        <w:rPr>
          <w:rFonts w:hint="eastAsia" w:asciiTheme="minorEastAsia" w:hAnsiTheme="minorEastAsia" w:eastAsiaTheme="minorEastAsia" w:cstheme="minorEastAsia"/>
          <w:color w:val="333333"/>
          <w:sz w:val="30"/>
          <w:szCs w:val="30"/>
          <w:lang w:val="en-US" w:eastAsia="zh-CN"/>
        </w:rPr>
        <w:t>政府采购</w:t>
      </w:r>
      <w:r>
        <w:rPr>
          <w:rFonts w:hint="eastAsia" w:asciiTheme="minorEastAsia" w:hAnsiTheme="minorEastAsia" w:eastAsiaTheme="minorEastAsia" w:cstheme="minorEastAsia"/>
          <w:color w:val="333333"/>
          <w:sz w:val="30"/>
          <w:szCs w:val="30"/>
        </w:rPr>
        <w:t>工程</w:t>
      </w:r>
      <w:r>
        <w:rPr>
          <w:rFonts w:hint="eastAsia" w:asciiTheme="minorEastAsia" w:hAnsiTheme="minorEastAsia" w:eastAsiaTheme="minorEastAsia" w:cstheme="minorEastAsia"/>
          <w:color w:val="333333"/>
          <w:sz w:val="30"/>
          <w:szCs w:val="30"/>
          <w:lang w:val="en-US" w:eastAsia="zh-CN"/>
        </w:rPr>
        <w:t>预算</w:t>
      </w:r>
      <w:r>
        <w:rPr>
          <w:rFonts w:hint="eastAsia" w:asciiTheme="minorEastAsia" w:hAnsiTheme="minorEastAsia" w:eastAsiaTheme="minorEastAsia" w:cstheme="minorEastAsia"/>
          <w:color w:val="333333"/>
          <w:sz w:val="30"/>
          <w:szCs w:val="30"/>
        </w:rPr>
        <w:t>0万元，</w:t>
      </w:r>
      <w:r>
        <w:rPr>
          <w:rFonts w:hint="eastAsia" w:asciiTheme="minorEastAsia" w:hAnsiTheme="minorEastAsia" w:eastAsiaTheme="minorEastAsia" w:cstheme="minorEastAsia"/>
          <w:color w:val="333333"/>
          <w:sz w:val="30"/>
          <w:szCs w:val="30"/>
          <w:lang w:val="en-US" w:eastAsia="zh-CN"/>
        </w:rPr>
        <w:t>政府采购</w:t>
      </w:r>
      <w:r>
        <w:rPr>
          <w:rFonts w:hint="eastAsia" w:asciiTheme="minorEastAsia" w:hAnsiTheme="minorEastAsia" w:eastAsiaTheme="minorEastAsia" w:cstheme="minorEastAsia"/>
          <w:color w:val="333333"/>
          <w:sz w:val="30"/>
          <w:szCs w:val="30"/>
        </w:rPr>
        <w:t>服务</w:t>
      </w:r>
      <w:r>
        <w:rPr>
          <w:rFonts w:hint="eastAsia" w:asciiTheme="minorEastAsia" w:hAnsiTheme="minorEastAsia" w:eastAsiaTheme="minorEastAsia" w:cstheme="minorEastAsia"/>
          <w:color w:val="333333"/>
          <w:sz w:val="30"/>
          <w:szCs w:val="30"/>
          <w:lang w:val="en-US" w:eastAsia="zh-CN"/>
        </w:rPr>
        <w:t>预算</w:t>
      </w:r>
      <w:r>
        <w:rPr>
          <w:rFonts w:hint="eastAsia" w:asciiTheme="minorEastAsia" w:hAnsiTheme="minorEastAsia" w:eastAsiaTheme="minorEastAsia" w:cstheme="minorEastAsia"/>
          <w:color w:val="333333"/>
          <w:sz w:val="30"/>
          <w:szCs w:val="30"/>
        </w:rPr>
        <w:t>0万元。</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（三）</w:t>
      </w:r>
      <w:r>
        <w:rPr>
          <w:rFonts w:hint="eastAsia" w:asciiTheme="minorEastAsia" w:hAnsiTheme="minorEastAsia" w:eastAsiaTheme="minorEastAsia" w:cstheme="minorEastAsia"/>
          <w:b/>
          <w:bCs/>
          <w:color w:val="auto"/>
          <w:sz w:val="30"/>
          <w:szCs w:val="30"/>
          <w:lang w:val="en-US" w:eastAsia="zh-CN"/>
        </w:rPr>
        <w:t>绩效目标设置情况</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lang w:val="en-US" w:eastAsia="zh-CN"/>
        </w:rPr>
      </w:pPr>
      <w:r>
        <w:rPr>
          <w:rFonts w:hint="eastAsia" w:asciiTheme="minorEastAsia" w:hAnsiTheme="minorEastAsia" w:eastAsiaTheme="minorEastAsia" w:cstheme="minorEastAsia"/>
          <w:color w:val="333333"/>
          <w:sz w:val="30"/>
          <w:szCs w:val="30"/>
          <w:lang w:val="en-US" w:eastAsia="zh-CN"/>
        </w:rPr>
        <w:t>2019年我中心未安排预算绩效目标。原因：因单位性质属于差补事业单位，所以未安排预算绩效目标。</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b/>
          <w:bCs/>
          <w:color w:val="333333"/>
          <w:sz w:val="30"/>
          <w:szCs w:val="30"/>
        </w:rPr>
      </w:pPr>
      <w:r>
        <w:rPr>
          <w:rFonts w:hint="eastAsia" w:asciiTheme="minorEastAsia" w:hAnsiTheme="minorEastAsia" w:eastAsiaTheme="minorEastAsia" w:cstheme="minorEastAsia"/>
          <w:b/>
          <w:bCs/>
          <w:color w:val="333333"/>
          <w:sz w:val="30"/>
          <w:szCs w:val="30"/>
          <w:lang w:eastAsia="zh-CN"/>
        </w:rPr>
        <w:t>（</w:t>
      </w:r>
      <w:r>
        <w:rPr>
          <w:rFonts w:hint="eastAsia" w:asciiTheme="minorEastAsia" w:hAnsiTheme="minorEastAsia" w:eastAsiaTheme="minorEastAsia" w:cstheme="minorEastAsia"/>
          <w:b/>
          <w:bCs/>
          <w:color w:val="333333"/>
          <w:sz w:val="30"/>
          <w:szCs w:val="30"/>
          <w:lang w:val="en-US" w:eastAsia="zh-CN"/>
        </w:rPr>
        <w:t>四</w:t>
      </w:r>
      <w:r>
        <w:rPr>
          <w:rFonts w:hint="eastAsia" w:asciiTheme="minorEastAsia" w:hAnsiTheme="minorEastAsia" w:eastAsiaTheme="minorEastAsia" w:cstheme="minorEastAsia"/>
          <w:b/>
          <w:bCs/>
          <w:color w:val="333333"/>
          <w:sz w:val="30"/>
          <w:szCs w:val="30"/>
          <w:lang w:eastAsia="zh-CN"/>
        </w:rPr>
        <w:t>）</w:t>
      </w:r>
      <w:r>
        <w:rPr>
          <w:rFonts w:hint="eastAsia" w:asciiTheme="minorEastAsia" w:hAnsiTheme="minorEastAsia" w:eastAsiaTheme="minorEastAsia" w:cstheme="minorEastAsia"/>
          <w:b/>
          <w:bCs/>
          <w:color w:val="333333"/>
          <w:sz w:val="30"/>
          <w:szCs w:val="30"/>
        </w:rPr>
        <w:t>国有资产占用情况</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lang w:val="en-US" w:eastAsia="zh-CN"/>
        </w:rPr>
      </w:pPr>
      <w:r>
        <w:rPr>
          <w:rFonts w:hint="eastAsia" w:asciiTheme="minorEastAsia" w:hAnsiTheme="minorEastAsia" w:eastAsiaTheme="minorEastAsia" w:cstheme="minorEastAsia"/>
          <w:color w:val="333333"/>
          <w:sz w:val="30"/>
          <w:szCs w:val="30"/>
          <w:lang w:val="en-US" w:eastAsia="zh-CN"/>
        </w:rPr>
        <w:t>2018年期末，我中心共有</w:t>
      </w:r>
      <w:r>
        <w:rPr>
          <w:rFonts w:hint="eastAsia" w:asciiTheme="minorEastAsia" w:hAnsiTheme="minorEastAsia" w:eastAsiaTheme="minorEastAsia" w:cstheme="minorEastAsia"/>
          <w:color w:val="333333"/>
          <w:sz w:val="30"/>
          <w:szCs w:val="30"/>
        </w:rPr>
        <w:t>车辆</w:t>
      </w:r>
      <w:r>
        <w:rPr>
          <w:rFonts w:hint="eastAsia" w:asciiTheme="minorEastAsia" w:hAnsiTheme="minorEastAsia" w:eastAsiaTheme="minorEastAsia" w:cstheme="minorEastAsia"/>
          <w:color w:val="333333"/>
          <w:sz w:val="30"/>
          <w:szCs w:val="30"/>
          <w:lang w:val="en-US" w:eastAsia="zh-CN"/>
        </w:rPr>
        <w:t>2辆，其中：一般公务用车0辆；一般执法执勤用车0辆；特殊专业技术用车0辆；其他用车2辆，其他用车主要是应急保障用车0辆；一般执法执勤用车0辆；单价50万元以上通用设备0台（套），单位价值100万元以上专用设备0台（套）。</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560" w:lineRule="exact"/>
        <w:ind w:left="560" w:leftChars="0"/>
        <w:jc w:val="both"/>
        <w:textAlignment w:val="auto"/>
        <w:rPr>
          <w:rFonts w:hint="eastAsia" w:asciiTheme="minorEastAsia" w:hAnsiTheme="minorEastAsia" w:eastAsiaTheme="minorEastAsia" w:cstheme="minorEastAsia"/>
          <w:b/>
          <w:bCs/>
          <w:color w:val="333333"/>
          <w:sz w:val="30"/>
          <w:szCs w:val="30"/>
          <w:lang w:val="en-US" w:eastAsia="zh-CN"/>
        </w:rPr>
      </w:pPr>
      <w:r>
        <w:rPr>
          <w:rFonts w:hint="eastAsia" w:asciiTheme="minorEastAsia" w:hAnsiTheme="minorEastAsia" w:eastAsiaTheme="minorEastAsia" w:cstheme="minorEastAsia"/>
          <w:b/>
          <w:bCs/>
          <w:color w:val="333333"/>
          <w:sz w:val="30"/>
          <w:szCs w:val="30"/>
          <w:lang w:eastAsia="zh-CN"/>
        </w:rPr>
        <w:t>（</w:t>
      </w:r>
      <w:r>
        <w:rPr>
          <w:rFonts w:hint="eastAsia" w:asciiTheme="minorEastAsia" w:hAnsiTheme="minorEastAsia" w:eastAsiaTheme="minorEastAsia" w:cstheme="minorEastAsia"/>
          <w:b/>
          <w:bCs/>
          <w:color w:val="333333"/>
          <w:sz w:val="30"/>
          <w:szCs w:val="30"/>
          <w:lang w:val="en-US" w:eastAsia="zh-CN"/>
        </w:rPr>
        <w:t>五</w:t>
      </w:r>
      <w:r>
        <w:rPr>
          <w:rFonts w:hint="eastAsia" w:asciiTheme="minorEastAsia" w:hAnsiTheme="minorEastAsia" w:eastAsiaTheme="minorEastAsia" w:cstheme="minorEastAsia"/>
          <w:b/>
          <w:bCs/>
          <w:color w:val="333333"/>
          <w:sz w:val="30"/>
          <w:szCs w:val="30"/>
          <w:lang w:eastAsia="zh-CN"/>
        </w:rPr>
        <w:t>）</w:t>
      </w:r>
      <w:r>
        <w:rPr>
          <w:rFonts w:hint="eastAsia" w:asciiTheme="minorEastAsia" w:hAnsiTheme="minorEastAsia" w:eastAsiaTheme="minorEastAsia" w:cstheme="minorEastAsia"/>
          <w:b/>
          <w:bCs/>
          <w:color w:val="333333"/>
          <w:sz w:val="30"/>
          <w:szCs w:val="30"/>
          <w:lang w:val="en-US" w:eastAsia="zh-CN"/>
        </w:rPr>
        <w:t>专项转移支付项目情况</w:t>
      </w:r>
    </w:p>
    <w:p>
      <w:pPr>
        <w:kinsoku w:val="0"/>
        <w:overflowPunct w:val="0"/>
        <w:autoSpaceDE w:val="0"/>
        <w:autoSpaceDN w:val="0"/>
        <w:adjustRightInd w:val="0"/>
        <w:snapToGrid w:val="0"/>
        <w:spacing w:line="360" w:lineRule="auto"/>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我</w:t>
      </w:r>
      <w:r>
        <w:rPr>
          <w:rFonts w:hint="eastAsia" w:asciiTheme="minorEastAsia" w:hAnsiTheme="minorEastAsia" w:eastAsiaTheme="minorEastAsia" w:cstheme="minorEastAsia"/>
          <w:sz w:val="30"/>
          <w:szCs w:val="30"/>
          <w:lang w:eastAsia="zh-CN"/>
        </w:rPr>
        <w:t>中心</w:t>
      </w:r>
      <w:r>
        <w:rPr>
          <w:rFonts w:hint="eastAsia" w:asciiTheme="minorEastAsia" w:hAnsiTheme="minorEastAsia" w:eastAsiaTheme="minorEastAsia" w:cstheme="minorEastAsia"/>
          <w:sz w:val="30"/>
          <w:szCs w:val="30"/>
        </w:rPr>
        <w:t>负责管理的专项转移支付项目共有</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项，主要是：</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项目</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万元、</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项目</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万元、</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项目</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万元等；我</w:t>
      </w:r>
      <w:r>
        <w:rPr>
          <w:rFonts w:hint="eastAsia" w:asciiTheme="minorEastAsia" w:hAnsiTheme="minorEastAsia" w:eastAsiaTheme="minorEastAsia" w:cstheme="minorEastAsia"/>
          <w:sz w:val="30"/>
          <w:szCs w:val="30"/>
          <w:lang w:eastAsia="zh-CN"/>
        </w:rPr>
        <w:t>中心</w:t>
      </w:r>
      <w:r>
        <w:rPr>
          <w:rFonts w:hint="eastAsia" w:asciiTheme="minorEastAsia" w:hAnsiTheme="minorEastAsia" w:eastAsiaTheme="minorEastAsia" w:cstheme="minorEastAsia"/>
          <w:sz w:val="30"/>
          <w:szCs w:val="30"/>
        </w:rPr>
        <w:t>将按照《预算法》等有关规定，积极做好项目分配前期准备工作，在规定的时间内向财政部门提出资金分配意见，根据有关要求做好项目申报公开等相关工作。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560" w:lineRule="exact"/>
        <w:ind w:left="560" w:leftChars="0"/>
        <w:jc w:val="both"/>
        <w:textAlignment w:val="auto"/>
        <w:rPr>
          <w:rFonts w:hint="eastAsia" w:asciiTheme="minorEastAsia" w:hAnsiTheme="minorEastAsia" w:eastAsiaTheme="minorEastAsia" w:cstheme="minorEastAsia"/>
          <w:color w:val="333333"/>
          <w:sz w:val="30"/>
          <w:szCs w:val="30"/>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560" w:lineRule="exact"/>
        <w:ind w:left="560" w:leftChars="0"/>
        <w:jc w:val="both"/>
        <w:textAlignment w:val="auto"/>
        <w:rPr>
          <w:rFonts w:hint="eastAsia" w:asciiTheme="minorEastAsia" w:hAnsiTheme="minorEastAsia" w:eastAsiaTheme="minorEastAsia" w:cstheme="minorEastAsia"/>
          <w:color w:val="333333"/>
          <w:sz w:val="30"/>
          <w:szCs w:val="30"/>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560" w:lineRule="exact"/>
        <w:ind w:left="560" w:leftChars="0"/>
        <w:jc w:val="both"/>
        <w:textAlignment w:val="auto"/>
        <w:rPr>
          <w:rFonts w:hint="eastAsia" w:asciiTheme="minorEastAsia" w:hAnsiTheme="minorEastAsia" w:eastAsiaTheme="minorEastAsia" w:cstheme="minorEastAsia"/>
          <w:color w:val="333333"/>
          <w:sz w:val="30"/>
          <w:szCs w:val="30"/>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560" w:lineRule="exact"/>
        <w:ind w:left="560" w:leftChars="0"/>
        <w:jc w:val="both"/>
        <w:textAlignment w:val="auto"/>
        <w:rPr>
          <w:rFonts w:hint="eastAsia" w:asciiTheme="minorEastAsia" w:hAnsiTheme="minorEastAsia" w:eastAsiaTheme="minorEastAsia" w:cstheme="minorEastAsia"/>
          <w:color w:val="333333"/>
          <w:sz w:val="30"/>
          <w:szCs w:val="30"/>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560" w:lineRule="exact"/>
        <w:ind w:left="560" w:leftChars="0"/>
        <w:jc w:val="both"/>
        <w:textAlignment w:val="auto"/>
        <w:rPr>
          <w:rFonts w:hint="eastAsia" w:asciiTheme="minorEastAsia" w:hAnsiTheme="minorEastAsia" w:eastAsiaTheme="minorEastAsia" w:cstheme="minorEastAsia"/>
          <w:color w:val="333333"/>
          <w:sz w:val="30"/>
          <w:szCs w:val="30"/>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jc w:val="center"/>
        <w:textAlignment w:val="auto"/>
        <w:rPr>
          <w:rFonts w:hint="eastAsia" w:asciiTheme="minorEastAsia" w:hAnsiTheme="minorEastAsia" w:eastAsiaTheme="minorEastAsia" w:cstheme="minorEastAsia"/>
          <w:b/>
          <w:bCs/>
          <w:color w:val="333333"/>
          <w:sz w:val="30"/>
          <w:szCs w:val="30"/>
        </w:rPr>
      </w:pPr>
      <w:r>
        <w:rPr>
          <w:rFonts w:hint="eastAsia" w:asciiTheme="minorEastAsia" w:hAnsiTheme="minorEastAsia" w:eastAsiaTheme="minorEastAsia" w:cstheme="minorEastAsia"/>
          <w:b/>
          <w:bCs/>
          <w:color w:val="333333"/>
          <w:sz w:val="30"/>
          <w:szCs w:val="30"/>
        </w:rPr>
        <w:t>第三部分</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jc w:val="center"/>
        <w:textAlignment w:val="auto"/>
        <w:rPr>
          <w:rFonts w:hint="eastAsia" w:asciiTheme="minorEastAsia" w:hAnsiTheme="minorEastAsia" w:eastAsiaTheme="minorEastAsia" w:cstheme="minorEastAsia"/>
          <w:b/>
          <w:bCs/>
          <w:color w:val="333333"/>
          <w:sz w:val="30"/>
          <w:szCs w:val="30"/>
        </w:rPr>
      </w:pPr>
      <w:r>
        <w:rPr>
          <w:rFonts w:hint="eastAsia" w:asciiTheme="minorEastAsia" w:hAnsiTheme="minorEastAsia" w:eastAsiaTheme="minorEastAsia" w:cstheme="minorEastAsia"/>
          <w:b/>
          <w:bCs/>
          <w:color w:val="333333"/>
          <w:sz w:val="30"/>
          <w:szCs w:val="30"/>
        </w:rPr>
        <w:t>名词解释</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center"/>
        <w:textAlignment w:val="auto"/>
        <w:rPr>
          <w:rFonts w:hint="eastAsia" w:asciiTheme="minorEastAsia" w:hAnsiTheme="minorEastAsia" w:eastAsiaTheme="minorEastAsia" w:cstheme="minorEastAsia"/>
          <w:b/>
          <w:bCs/>
          <w:color w:val="333333"/>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rPr>
        <w:t>一、财政拨款收入：是指</w:t>
      </w:r>
      <w:r>
        <w:rPr>
          <w:rFonts w:hint="eastAsia" w:asciiTheme="minorEastAsia" w:hAnsiTheme="minorEastAsia" w:eastAsiaTheme="minorEastAsia" w:cstheme="minorEastAsia"/>
          <w:color w:val="333333"/>
          <w:sz w:val="30"/>
          <w:szCs w:val="30"/>
          <w:lang w:val="en-US" w:eastAsia="zh-CN"/>
        </w:rPr>
        <w:t>省</w:t>
      </w:r>
      <w:r>
        <w:rPr>
          <w:rFonts w:hint="eastAsia" w:asciiTheme="minorEastAsia" w:hAnsiTheme="minorEastAsia" w:eastAsiaTheme="minorEastAsia" w:cstheme="minorEastAsia"/>
          <w:color w:val="333333"/>
          <w:sz w:val="30"/>
          <w:szCs w:val="30"/>
        </w:rPr>
        <w:t>级财政当年拨付的资金。</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rPr>
        <w:t>二、事业收入：是指事业单位开展专业活动及辅助活动所取得的收入。</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rPr>
        <w:t>三、其他收入：是指部门取得的除“财政拨款”、“事业收入”、“事业单位经营收入”等以外的收入。</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rPr>
        <w:t>五、基本支出：是指为保障机构正常运转、完成日常工作任务所必需的开支，其内容包括人员经费和日常公用经费两部分。</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rPr>
        <w:t>六、项目支出：是指在基本支出之外，为完成特定的行政工作任务或事业发展目标所发生的支出。</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rPr>
        <w:t>七、“三公”经费：是指纳入</w:t>
      </w:r>
      <w:r>
        <w:rPr>
          <w:rFonts w:hint="eastAsia" w:asciiTheme="minorEastAsia" w:hAnsiTheme="minorEastAsia" w:eastAsiaTheme="minorEastAsia" w:cstheme="minorEastAsia"/>
          <w:color w:val="333333"/>
          <w:sz w:val="30"/>
          <w:szCs w:val="30"/>
          <w:lang w:val="en-US" w:eastAsia="zh-CN"/>
        </w:rPr>
        <w:t>省级</w:t>
      </w:r>
      <w:r>
        <w:rPr>
          <w:rFonts w:hint="eastAsia" w:asciiTheme="minorEastAsia" w:hAnsiTheme="minorEastAsia" w:eastAsiaTheme="minorEastAsia" w:cstheme="minorEastAsia"/>
          <w:color w:val="333333"/>
          <w:sz w:val="30"/>
          <w:szCs w:val="30"/>
        </w:rPr>
        <w:t>财政预算管理，部门使用财政拨款安排的因公出国（境）费、公务</w:t>
      </w:r>
      <w:r>
        <w:rPr>
          <w:rFonts w:hint="eastAsia" w:asciiTheme="minorEastAsia" w:hAnsiTheme="minorEastAsia" w:eastAsiaTheme="minorEastAsia" w:cstheme="minorEastAsia"/>
          <w:color w:val="333333"/>
          <w:sz w:val="30"/>
          <w:szCs w:val="30"/>
          <w:lang w:val="en-US" w:eastAsia="zh-CN"/>
        </w:rPr>
        <w:t>员</w:t>
      </w:r>
      <w:r>
        <w:rPr>
          <w:rFonts w:hint="eastAsia" w:asciiTheme="minorEastAsia" w:hAnsiTheme="minorEastAsia" w:eastAsiaTheme="minorEastAsia" w:cstheme="minorEastAsia"/>
          <w:color w:val="333333"/>
          <w:sz w:val="30"/>
          <w:szCs w:val="30"/>
        </w:rPr>
        <w:t>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560"/>
        <w:jc w:val="both"/>
        <w:textAlignment w:val="auto"/>
        <w:rPr>
          <w:rFonts w:hint="eastAsia" w:asciiTheme="minorEastAsia" w:hAnsiTheme="minorEastAsia" w:eastAsiaTheme="minorEastAsia" w:cstheme="minorEastAsia"/>
          <w:color w:val="333333"/>
          <w:sz w:val="30"/>
          <w:szCs w:val="30"/>
        </w:rPr>
      </w:pPr>
      <w:r>
        <w:rPr>
          <w:rFonts w:hint="eastAsia" w:asciiTheme="minorEastAsia" w:hAnsiTheme="minorEastAsia" w:eastAsiaTheme="minorEastAsia" w:cstheme="minorEastAsia"/>
          <w:color w:val="333333"/>
          <w:sz w:val="30"/>
          <w:szCs w:val="30"/>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spacing w:line="560" w:lineRule="exac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 xml:space="preserve">  </w:t>
      </w:r>
    </w:p>
    <w:p>
      <w:pPr>
        <w:keepNext w:val="0"/>
        <w:keepLines w:val="0"/>
        <w:pageBreakBefore w:val="0"/>
        <w:widowControl/>
        <w:kinsoku/>
        <w:wordWrap/>
        <w:overflowPunct/>
        <w:topLinePunct w:val="0"/>
        <w:autoSpaceDE/>
        <w:autoSpaceDN/>
        <w:bidi w:val="0"/>
        <w:spacing w:line="560" w:lineRule="exact"/>
        <w:textAlignment w:val="auto"/>
        <w:rPr>
          <w:rFonts w:hint="eastAsia" w:asciiTheme="minorEastAsia" w:hAnsiTheme="minorEastAsia" w:eastAsiaTheme="minorEastAsia" w:cstheme="minorEastAsia"/>
          <w:sz w:val="30"/>
          <w:szCs w:val="30"/>
          <w:lang w:val="en-US" w:eastAsia="zh-CN"/>
        </w:rPr>
      </w:pPr>
    </w:p>
    <w:p>
      <w:pPr>
        <w:keepNext w:val="0"/>
        <w:keepLines w:val="0"/>
        <w:pageBreakBefore w:val="0"/>
        <w:widowControl/>
        <w:kinsoku/>
        <w:wordWrap/>
        <w:overflowPunct/>
        <w:topLinePunct w:val="0"/>
        <w:autoSpaceDE/>
        <w:autoSpaceDN/>
        <w:bidi w:val="0"/>
        <w:spacing w:line="560" w:lineRule="exact"/>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附件：</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bCs/>
          <w:color w:val="333333"/>
          <w:sz w:val="30"/>
          <w:szCs w:val="30"/>
          <w:lang w:val="en-US" w:eastAsia="zh-CN"/>
        </w:rPr>
      </w:pPr>
      <w:r>
        <w:rPr>
          <w:rFonts w:hint="eastAsia" w:asciiTheme="minorEastAsia" w:hAnsiTheme="minorEastAsia" w:eastAsiaTheme="minorEastAsia" w:cstheme="minorEastAsia"/>
          <w:b/>
          <w:bCs/>
          <w:color w:val="333333"/>
          <w:sz w:val="30"/>
          <w:szCs w:val="30"/>
          <w:lang w:val="en-US" w:eastAsia="zh-CN"/>
        </w:rPr>
        <w:t>内乡县市场发展服务中心2019年部门预算表</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bCs/>
          <w:color w:val="333333"/>
          <w:sz w:val="30"/>
          <w:szCs w:val="30"/>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bCs/>
          <w:color w:val="333333"/>
          <w:sz w:val="30"/>
          <w:szCs w:val="30"/>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p>
      <w:pPr>
        <w:keepNext w:val="0"/>
        <w:keepLines w:val="0"/>
        <w:pageBreakBefore w:val="0"/>
        <w:widowControl/>
        <w:kinsoku/>
        <w:wordWrap/>
        <w:overflowPunct/>
        <w:topLinePunct w:val="0"/>
        <w:autoSpaceDE/>
        <w:autoSpaceDN/>
        <w:bidi w:val="0"/>
        <w:spacing w:line="560" w:lineRule="exact"/>
        <w:jc w:val="both"/>
        <w:textAlignment w:val="auto"/>
        <w:rPr>
          <w:rFonts w:hint="default" w:ascii="宋体" w:hAnsi="宋体" w:eastAsia="宋体" w:cs="宋体"/>
          <w:b/>
          <w:bCs/>
          <w:color w:val="333333"/>
          <w:sz w:val="32"/>
          <w:szCs w:val="32"/>
          <w:lang w:val="en-US" w:eastAsia="zh-CN"/>
        </w:rPr>
        <w:sectPr>
          <w:pgSz w:w="11906" w:h="16838"/>
          <w:pgMar w:top="1440" w:right="1800" w:bottom="1440" w:left="1800" w:header="708" w:footer="708" w:gutter="0"/>
          <w:pgBorders w:offsetFrom="page">
            <w:top w:val="none" w:sz="0" w:space="0"/>
            <w:left w:val="none" w:sz="0" w:space="0"/>
            <w:bottom w:val="none" w:sz="0" w:space="0"/>
            <w:right w:val="none" w:sz="0" w:space="0"/>
          </w:pgBorders>
          <w:cols w:space="708" w:num="1"/>
          <w:docGrid w:linePitch="360" w:charSpace="0"/>
        </w:sectPr>
      </w:pPr>
    </w:p>
    <w:tbl>
      <w:tblPr>
        <w:tblW w:w="14479"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9"/>
        <w:gridCol w:w="2171"/>
        <w:gridCol w:w="1776"/>
        <w:gridCol w:w="405"/>
        <w:gridCol w:w="64"/>
        <w:gridCol w:w="1679"/>
        <w:gridCol w:w="1451"/>
        <w:gridCol w:w="773"/>
        <w:gridCol w:w="91"/>
        <w:gridCol w:w="682"/>
        <w:gridCol w:w="220"/>
        <w:gridCol w:w="663"/>
        <w:gridCol w:w="1209"/>
        <w:gridCol w:w="778"/>
        <w:gridCol w:w="737"/>
        <w:gridCol w:w="143"/>
        <w:gridCol w:w="1354"/>
        <w:gridCol w:w="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4479" w:type="dxa"/>
            <w:gridSpan w:val="18"/>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40"/>
                <w:szCs w:val="40"/>
                <w:u w:val="none"/>
                <w:lang w:val="en-US"/>
              </w:rPr>
            </w:pPr>
            <w:r>
              <w:rPr>
                <w:rFonts w:hint="eastAsia" w:ascii="宋体" w:hAnsi="宋体" w:eastAsia="宋体" w:cs="宋体"/>
                <w:b/>
                <w:i w:val="0"/>
                <w:color w:val="000000"/>
                <w:kern w:val="0"/>
                <w:sz w:val="40"/>
                <w:szCs w:val="40"/>
                <w:u w:val="none"/>
                <w:lang w:val="en-US" w:eastAsia="zh-CN" w:bidi="ar"/>
              </w:rPr>
              <w:t xml:space="preserve">                 </w:t>
            </w:r>
            <w:bookmarkStart w:id="0" w:name="_GoBack"/>
            <w:bookmarkEnd w:id="0"/>
            <w:r>
              <w:rPr>
                <w:rFonts w:hint="eastAsia" w:ascii="宋体" w:hAnsi="宋体" w:eastAsia="宋体" w:cs="宋体"/>
                <w:b/>
                <w:i w:val="0"/>
                <w:color w:val="000000"/>
                <w:kern w:val="0"/>
                <w:sz w:val="40"/>
                <w:szCs w:val="40"/>
                <w:u w:val="none"/>
                <w:lang w:val="en-US" w:eastAsia="zh-CN" w:bidi="ar"/>
              </w:rPr>
              <w:t xml:space="preserve">2019年部门收支预算总表                      </w:t>
            </w:r>
            <w:r>
              <w:rPr>
                <w:rFonts w:hint="eastAsia" w:ascii="宋体" w:hAnsi="宋体" w:eastAsia="宋体" w:cs="宋体"/>
                <w:b w:val="0"/>
                <w:bCs/>
                <w:i w:val="0"/>
                <w:color w:val="000000"/>
                <w:kern w:val="0"/>
                <w:sz w:val="28"/>
                <w:szCs w:val="28"/>
                <w:u w:val="none"/>
                <w:lang w:val="en-US" w:eastAsia="zh-CN" w:bidi="ar"/>
              </w:rPr>
              <w:t>预算01表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6" w:hRule="atLeast"/>
        </w:trPr>
        <w:tc>
          <w:tcPr>
            <w:tcW w:w="14479" w:type="dxa"/>
            <w:gridSpan w:val="18"/>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部门名称：内乡县市场发展服务中心</w:t>
            </w:r>
          </w:p>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43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10048"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2181"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1743" w:type="dxa"/>
            <w:gridSpan w:val="2"/>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8305"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21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743" w:type="dxa"/>
            <w:gridSpan w:val="2"/>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451"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546"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一般公共预算支出</w:t>
            </w:r>
          </w:p>
        </w:tc>
        <w:tc>
          <w:tcPr>
            <w:tcW w:w="883" w:type="dxa"/>
            <w:gridSpan w:val="2"/>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基金安排</w:t>
            </w:r>
          </w:p>
        </w:tc>
        <w:tc>
          <w:tcPr>
            <w:tcW w:w="1209"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专户安排</w:t>
            </w:r>
          </w:p>
        </w:tc>
        <w:tc>
          <w:tcPr>
            <w:tcW w:w="778"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本级财力补助下级支出</w:t>
            </w:r>
          </w:p>
        </w:tc>
        <w:tc>
          <w:tcPr>
            <w:tcW w:w="737"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上年结转安排</w:t>
            </w:r>
          </w:p>
        </w:tc>
        <w:tc>
          <w:tcPr>
            <w:tcW w:w="1701" w:type="dxa"/>
            <w:gridSpan w:val="3"/>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提前下达转移支付安排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21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743" w:type="dxa"/>
            <w:gridSpan w:val="2"/>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451"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7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773" w:type="dxa"/>
            <w:gridSpan w:val="2"/>
            <w:tcBorders>
              <w:top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883" w:type="dxa"/>
            <w:gridSpan w:val="2"/>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209"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78"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7"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701" w:type="dxa"/>
            <w:gridSpan w:val="3"/>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w:t>
            </w:r>
          </w:p>
        </w:tc>
        <w:tc>
          <w:tcPr>
            <w:tcW w:w="21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1743" w:type="dxa"/>
            <w:gridSpan w:val="2"/>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一、基本支出</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二、收费安排</w:t>
            </w:r>
          </w:p>
        </w:tc>
        <w:tc>
          <w:tcPr>
            <w:tcW w:w="2181" w:type="dxa"/>
            <w:gridSpan w:val="2"/>
            <w:shd w:val="clear"/>
            <w:vAlign w:val="center"/>
          </w:tcPr>
          <w:p>
            <w:pPr>
              <w:rPr>
                <w:rFonts w:hint="eastAsia" w:ascii="宋体" w:hAnsi="宋体" w:eastAsia="宋体" w:cs="宋体"/>
                <w:i w:val="0"/>
                <w:color w:val="000000"/>
                <w:sz w:val="18"/>
                <w:szCs w:val="18"/>
                <w:u w:val="none"/>
              </w:rPr>
            </w:pPr>
          </w:p>
        </w:tc>
        <w:tc>
          <w:tcPr>
            <w:tcW w:w="1743"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1、行政人员经费</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三、专项收入</w:t>
            </w:r>
          </w:p>
        </w:tc>
        <w:tc>
          <w:tcPr>
            <w:tcW w:w="2181"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743" w:type="dxa"/>
            <w:gridSpan w:val="2"/>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2、事业人员经费</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432.0 </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432.0 </w:t>
            </w: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432.0 </w:t>
            </w: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四、罚没收入</w:t>
            </w:r>
          </w:p>
        </w:tc>
        <w:tc>
          <w:tcPr>
            <w:tcW w:w="2181" w:type="dxa"/>
            <w:gridSpan w:val="2"/>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743"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3、公用支出</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五、国有资本收益</w:t>
            </w:r>
          </w:p>
        </w:tc>
        <w:tc>
          <w:tcPr>
            <w:tcW w:w="21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1743"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二、项目支出</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31.0 </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19.0 </w:t>
            </w: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六、政府住房基金收入</w:t>
            </w:r>
          </w:p>
        </w:tc>
        <w:tc>
          <w:tcPr>
            <w:tcW w:w="2181" w:type="dxa"/>
            <w:gridSpan w:val="2"/>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743"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1、一般性项目支出</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31.0 </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19.0 </w:t>
            </w: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七、政府性基金</w:t>
            </w:r>
          </w:p>
        </w:tc>
        <w:tc>
          <w:tcPr>
            <w:tcW w:w="2181" w:type="dxa"/>
            <w:gridSpan w:val="2"/>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743" w:type="dxa"/>
            <w:gridSpan w:val="2"/>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2、专项支出</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八、专户收入</w:t>
            </w:r>
          </w:p>
        </w:tc>
        <w:tc>
          <w:tcPr>
            <w:tcW w:w="21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19.0 </w:t>
            </w:r>
          </w:p>
        </w:tc>
        <w:tc>
          <w:tcPr>
            <w:tcW w:w="1743" w:type="dxa"/>
            <w:gridSpan w:val="2"/>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2.1、政策性配套支出</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九、结余结转收入</w:t>
            </w:r>
          </w:p>
        </w:tc>
        <w:tc>
          <w:tcPr>
            <w:tcW w:w="2181" w:type="dxa"/>
            <w:gridSpan w:val="2"/>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743"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2.2、事业发展专项支出</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十、本级财力补助下级支出</w:t>
            </w:r>
          </w:p>
        </w:tc>
        <w:tc>
          <w:tcPr>
            <w:tcW w:w="2181"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743"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2.3、其他资本性支出</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十一、提前下达转移支付支出</w:t>
            </w:r>
          </w:p>
        </w:tc>
        <w:tc>
          <w:tcPr>
            <w:tcW w:w="2181"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743"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2.4、偿债支出</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2181" w:type="dxa"/>
            <w:gridSpan w:val="2"/>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743"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2.5、其他</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2181" w:type="dxa"/>
            <w:gridSpan w:val="2"/>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743"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50"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21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464.3 </w:t>
            </w:r>
          </w:p>
        </w:tc>
        <w:tc>
          <w:tcPr>
            <w:tcW w:w="1743" w:type="dxa"/>
            <w:gridSpan w:val="2"/>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464.3 </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445.3 </w:t>
            </w:r>
          </w:p>
        </w:tc>
        <w:tc>
          <w:tcPr>
            <w:tcW w:w="7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8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19.0 </w:t>
            </w: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701"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 w:hRule="atLeast"/>
        </w:trPr>
        <w:tc>
          <w:tcPr>
            <w:tcW w:w="2250" w:type="dxa"/>
            <w:gridSpan w:val="2"/>
            <w:shd w:val="clear"/>
            <w:vAlign w:val="center"/>
          </w:tcPr>
          <w:p>
            <w:pPr>
              <w:rPr>
                <w:rFonts w:hint="eastAsia" w:ascii="宋体" w:hAnsi="宋体" w:eastAsia="宋体" w:cs="宋体"/>
                <w:i w:val="0"/>
                <w:color w:val="000000"/>
                <w:sz w:val="24"/>
                <w:szCs w:val="24"/>
                <w:u w:val="none"/>
              </w:rPr>
            </w:pPr>
          </w:p>
        </w:tc>
        <w:tc>
          <w:tcPr>
            <w:tcW w:w="2181" w:type="dxa"/>
            <w:gridSpan w:val="2"/>
            <w:shd w:val="clear"/>
            <w:vAlign w:val="center"/>
          </w:tcPr>
          <w:p>
            <w:pPr>
              <w:rPr>
                <w:rFonts w:hint="eastAsia" w:ascii="宋体" w:hAnsi="宋体" w:eastAsia="宋体" w:cs="宋体"/>
                <w:i w:val="0"/>
                <w:color w:val="000000"/>
                <w:sz w:val="24"/>
                <w:szCs w:val="24"/>
                <w:u w:val="none"/>
              </w:rPr>
            </w:pPr>
          </w:p>
        </w:tc>
        <w:tc>
          <w:tcPr>
            <w:tcW w:w="1743" w:type="dxa"/>
            <w:gridSpan w:val="2"/>
            <w:shd w:val="clear"/>
            <w:vAlign w:val="center"/>
          </w:tcPr>
          <w:p>
            <w:pPr>
              <w:rPr>
                <w:rFonts w:hint="eastAsia" w:ascii="宋体" w:hAnsi="宋体" w:eastAsia="宋体" w:cs="宋体"/>
                <w:i w:val="0"/>
                <w:color w:val="000000"/>
                <w:sz w:val="24"/>
                <w:szCs w:val="24"/>
                <w:u w:val="none"/>
              </w:rPr>
            </w:pPr>
          </w:p>
        </w:tc>
        <w:tc>
          <w:tcPr>
            <w:tcW w:w="1451" w:type="dxa"/>
            <w:shd w:val="clear"/>
            <w:vAlign w:val="center"/>
          </w:tcPr>
          <w:p>
            <w:pPr>
              <w:rPr>
                <w:rFonts w:hint="eastAsia" w:ascii="宋体" w:hAnsi="宋体" w:eastAsia="宋体" w:cs="宋体"/>
                <w:i w:val="0"/>
                <w:color w:val="000000"/>
                <w:sz w:val="24"/>
                <w:szCs w:val="24"/>
                <w:u w:val="none"/>
              </w:rPr>
            </w:pPr>
          </w:p>
        </w:tc>
        <w:tc>
          <w:tcPr>
            <w:tcW w:w="773" w:type="dxa"/>
            <w:shd w:val="clear"/>
            <w:vAlign w:val="center"/>
          </w:tcPr>
          <w:p>
            <w:pPr>
              <w:rPr>
                <w:rFonts w:hint="eastAsia" w:ascii="宋体" w:hAnsi="宋体" w:eastAsia="宋体" w:cs="宋体"/>
                <w:i w:val="0"/>
                <w:color w:val="000000"/>
                <w:sz w:val="24"/>
                <w:szCs w:val="24"/>
                <w:u w:val="none"/>
              </w:rPr>
            </w:pPr>
          </w:p>
        </w:tc>
        <w:tc>
          <w:tcPr>
            <w:tcW w:w="773" w:type="dxa"/>
            <w:gridSpan w:val="2"/>
            <w:shd w:val="clear"/>
            <w:vAlign w:val="center"/>
          </w:tcPr>
          <w:p>
            <w:pPr>
              <w:rPr>
                <w:rFonts w:hint="eastAsia" w:ascii="宋体" w:hAnsi="宋体" w:eastAsia="宋体" w:cs="宋体"/>
                <w:i w:val="0"/>
                <w:color w:val="000000"/>
                <w:sz w:val="24"/>
                <w:szCs w:val="24"/>
                <w:u w:val="none"/>
              </w:rPr>
            </w:pPr>
          </w:p>
        </w:tc>
        <w:tc>
          <w:tcPr>
            <w:tcW w:w="883" w:type="dxa"/>
            <w:gridSpan w:val="2"/>
            <w:shd w:val="clear"/>
            <w:vAlign w:val="center"/>
          </w:tcPr>
          <w:p>
            <w:pPr>
              <w:rPr>
                <w:rFonts w:hint="eastAsia" w:ascii="宋体" w:hAnsi="宋体" w:eastAsia="宋体" w:cs="宋体"/>
                <w:i w:val="0"/>
                <w:color w:val="000000"/>
                <w:sz w:val="24"/>
                <w:szCs w:val="24"/>
                <w:u w:val="none"/>
              </w:rPr>
            </w:pPr>
          </w:p>
        </w:tc>
        <w:tc>
          <w:tcPr>
            <w:tcW w:w="1209" w:type="dxa"/>
            <w:shd w:val="clear"/>
            <w:vAlign w:val="center"/>
          </w:tcPr>
          <w:p>
            <w:pPr>
              <w:rPr>
                <w:rFonts w:hint="eastAsia" w:ascii="宋体" w:hAnsi="宋体" w:eastAsia="宋体" w:cs="宋体"/>
                <w:i w:val="0"/>
                <w:color w:val="000000"/>
                <w:sz w:val="24"/>
                <w:szCs w:val="24"/>
                <w:u w:val="none"/>
              </w:rPr>
            </w:pPr>
          </w:p>
        </w:tc>
        <w:tc>
          <w:tcPr>
            <w:tcW w:w="778" w:type="dxa"/>
            <w:shd w:val="clear"/>
            <w:vAlign w:val="center"/>
          </w:tcPr>
          <w:p>
            <w:pPr>
              <w:rPr>
                <w:rFonts w:hint="eastAsia" w:ascii="宋体" w:hAnsi="宋体" w:eastAsia="宋体" w:cs="宋体"/>
                <w:i w:val="0"/>
                <w:color w:val="000000"/>
                <w:sz w:val="24"/>
                <w:szCs w:val="24"/>
                <w:u w:val="none"/>
              </w:rPr>
            </w:pPr>
          </w:p>
        </w:tc>
        <w:tc>
          <w:tcPr>
            <w:tcW w:w="737" w:type="dxa"/>
            <w:shd w:val="clear"/>
            <w:vAlign w:val="center"/>
          </w:tcPr>
          <w:p>
            <w:pPr>
              <w:rPr>
                <w:rFonts w:hint="eastAsia" w:ascii="宋体" w:hAnsi="宋体" w:eastAsia="宋体" w:cs="宋体"/>
                <w:i w:val="0"/>
                <w:color w:val="000000"/>
                <w:sz w:val="24"/>
                <w:szCs w:val="24"/>
                <w:u w:val="none"/>
              </w:rPr>
            </w:pPr>
          </w:p>
        </w:tc>
        <w:tc>
          <w:tcPr>
            <w:tcW w:w="1701" w:type="dxa"/>
            <w:gridSpan w:val="3"/>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trPr>
        <w:tc>
          <w:tcPr>
            <w:tcW w:w="2250" w:type="dxa"/>
            <w:gridSpan w:val="2"/>
            <w:shd w:val="clear"/>
            <w:vAlign w:val="center"/>
          </w:tcPr>
          <w:p>
            <w:pPr>
              <w:rPr>
                <w:rFonts w:hint="eastAsia" w:ascii="宋体" w:hAnsi="宋体" w:eastAsia="宋体" w:cs="宋体"/>
                <w:i w:val="0"/>
                <w:color w:val="000000"/>
                <w:sz w:val="24"/>
                <w:szCs w:val="24"/>
                <w:u w:val="none"/>
              </w:rPr>
            </w:pPr>
          </w:p>
        </w:tc>
        <w:tc>
          <w:tcPr>
            <w:tcW w:w="2181" w:type="dxa"/>
            <w:gridSpan w:val="2"/>
            <w:shd w:val="clear"/>
            <w:vAlign w:val="center"/>
          </w:tcPr>
          <w:p>
            <w:pPr>
              <w:rPr>
                <w:rFonts w:hint="eastAsia" w:ascii="宋体" w:hAnsi="宋体" w:eastAsia="宋体" w:cs="宋体"/>
                <w:i w:val="0"/>
                <w:color w:val="000000"/>
                <w:sz w:val="24"/>
                <w:szCs w:val="24"/>
                <w:u w:val="none"/>
              </w:rPr>
            </w:pPr>
          </w:p>
        </w:tc>
        <w:tc>
          <w:tcPr>
            <w:tcW w:w="1743" w:type="dxa"/>
            <w:gridSpan w:val="2"/>
            <w:shd w:val="clear"/>
            <w:vAlign w:val="center"/>
          </w:tcPr>
          <w:p>
            <w:pPr>
              <w:rPr>
                <w:rFonts w:hint="eastAsia" w:ascii="宋体" w:hAnsi="宋体" w:eastAsia="宋体" w:cs="宋体"/>
                <w:i w:val="0"/>
                <w:color w:val="000000"/>
                <w:sz w:val="24"/>
                <w:szCs w:val="24"/>
                <w:u w:val="none"/>
              </w:rPr>
            </w:pPr>
          </w:p>
        </w:tc>
        <w:tc>
          <w:tcPr>
            <w:tcW w:w="1451" w:type="dxa"/>
            <w:shd w:val="clear"/>
            <w:vAlign w:val="center"/>
          </w:tcPr>
          <w:p>
            <w:pPr>
              <w:rPr>
                <w:rFonts w:hint="eastAsia" w:ascii="宋体" w:hAnsi="宋体" w:eastAsia="宋体" w:cs="宋体"/>
                <w:i w:val="0"/>
                <w:color w:val="000000"/>
                <w:sz w:val="24"/>
                <w:szCs w:val="24"/>
                <w:u w:val="none"/>
              </w:rPr>
            </w:pPr>
          </w:p>
        </w:tc>
        <w:tc>
          <w:tcPr>
            <w:tcW w:w="773" w:type="dxa"/>
            <w:shd w:val="clear"/>
            <w:vAlign w:val="center"/>
          </w:tcPr>
          <w:p>
            <w:pPr>
              <w:rPr>
                <w:rFonts w:hint="eastAsia" w:ascii="宋体" w:hAnsi="宋体" w:eastAsia="宋体" w:cs="宋体"/>
                <w:i w:val="0"/>
                <w:color w:val="000000"/>
                <w:sz w:val="24"/>
                <w:szCs w:val="24"/>
                <w:u w:val="none"/>
              </w:rPr>
            </w:pPr>
          </w:p>
        </w:tc>
        <w:tc>
          <w:tcPr>
            <w:tcW w:w="773" w:type="dxa"/>
            <w:gridSpan w:val="2"/>
            <w:shd w:val="clear"/>
            <w:vAlign w:val="center"/>
          </w:tcPr>
          <w:p>
            <w:pPr>
              <w:rPr>
                <w:rFonts w:hint="eastAsia" w:ascii="宋体" w:hAnsi="宋体" w:eastAsia="宋体" w:cs="宋体"/>
                <w:i w:val="0"/>
                <w:color w:val="000000"/>
                <w:sz w:val="24"/>
                <w:szCs w:val="24"/>
                <w:u w:val="none"/>
              </w:rPr>
            </w:pPr>
          </w:p>
        </w:tc>
        <w:tc>
          <w:tcPr>
            <w:tcW w:w="883" w:type="dxa"/>
            <w:gridSpan w:val="2"/>
            <w:shd w:val="clear"/>
            <w:vAlign w:val="center"/>
          </w:tcPr>
          <w:p>
            <w:pPr>
              <w:rPr>
                <w:rFonts w:hint="eastAsia" w:ascii="宋体" w:hAnsi="宋体" w:eastAsia="宋体" w:cs="宋体"/>
                <w:i w:val="0"/>
                <w:color w:val="000000"/>
                <w:sz w:val="24"/>
                <w:szCs w:val="24"/>
                <w:u w:val="none"/>
              </w:rPr>
            </w:pPr>
          </w:p>
        </w:tc>
        <w:tc>
          <w:tcPr>
            <w:tcW w:w="1209" w:type="dxa"/>
            <w:shd w:val="clear"/>
            <w:vAlign w:val="center"/>
          </w:tcPr>
          <w:p>
            <w:pPr>
              <w:rPr>
                <w:rFonts w:hint="eastAsia" w:ascii="宋体" w:hAnsi="宋体" w:eastAsia="宋体" w:cs="宋体"/>
                <w:i w:val="0"/>
                <w:color w:val="000000"/>
                <w:sz w:val="24"/>
                <w:szCs w:val="24"/>
                <w:u w:val="none"/>
              </w:rPr>
            </w:pPr>
          </w:p>
        </w:tc>
        <w:tc>
          <w:tcPr>
            <w:tcW w:w="778" w:type="dxa"/>
            <w:shd w:val="clear"/>
            <w:vAlign w:val="center"/>
          </w:tcPr>
          <w:p>
            <w:pPr>
              <w:rPr>
                <w:rFonts w:hint="eastAsia" w:ascii="宋体" w:hAnsi="宋体" w:eastAsia="宋体" w:cs="宋体"/>
                <w:i w:val="0"/>
                <w:color w:val="000000"/>
                <w:sz w:val="24"/>
                <w:szCs w:val="24"/>
                <w:u w:val="none"/>
              </w:rPr>
            </w:pPr>
          </w:p>
        </w:tc>
        <w:tc>
          <w:tcPr>
            <w:tcW w:w="737" w:type="dxa"/>
            <w:shd w:val="clear"/>
            <w:vAlign w:val="center"/>
          </w:tcPr>
          <w:p>
            <w:pPr>
              <w:rPr>
                <w:rFonts w:hint="eastAsia" w:ascii="宋体" w:hAnsi="宋体" w:eastAsia="宋体" w:cs="宋体"/>
                <w:i w:val="0"/>
                <w:color w:val="000000"/>
                <w:sz w:val="24"/>
                <w:szCs w:val="24"/>
                <w:u w:val="none"/>
              </w:rPr>
            </w:pPr>
          </w:p>
        </w:tc>
        <w:tc>
          <w:tcPr>
            <w:tcW w:w="1701" w:type="dxa"/>
            <w:gridSpan w:val="3"/>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trPr>
        <w:tc>
          <w:tcPr>
            <w:tcW w:w="2250" w:type="dxa"/>
            <w:gridSpan w:val="2"/>
            <w:shd w:val="clear"/>
            <w:vAlign w:val="center"/>
          </w:tcPr>
          <w:p>
            <w:pPr>
              <w:rPr>
                <w:rFonts w:hint="eastAsia" w:ascii="宋体" w:hAnsi="宋体" w:eastAsia="宋体" w:cs="宋体"/>
                <w:i w:val="0"/>
                <w:color w:val="000000"/>
                <w:sz w:val="24"/>
                <w:szCs w:val="24"/>
                <w:u w:val="none"/>
              </w:rPr>
            </w:pPr>
          </w:p>
        </w:tc>
        <w:tc>
          <w:tcPr>
            <w:tcW w:w="2181" w:type="dxa"/>
            <w:gridSpan w:val="2"/>
            <w:shd w:val="clear"/>
            <w:vAlign w:val="center"/>
          </w:tcPr>
          <w:p>
            <w:pPr>
              <w:rPr>
                <w:rFonts w:hint="eastAsia" w:ascii="宋体" w:hAnsi="宋体" w:eastAsia="宋体" w:cs="宋体"/>
                <w:i w:val="0"/>
                <w:color w:val="000000"/>
                <w:sz w:val="24"/>
                <w:szCs w:val="24"/>
                <w:u w:val="none"/>
              </w:rPr>
            </w:pPr>
          </w:p>
        </w:tc>
        <w:tc>
          <w:tcPr>
            <w:tcW w:w="1743" w:type="dxa"/>
            <w:gridSpan w:val="2"/>
            <w:shd w:val="clear"/>
            <w:vAlign w:val="center"/>
          </w:tcPr>
          <w:p>
            <w:pPr>
              <w:rPr>
                <w:rFonts w:hint="eastAsia" w:ascii="宋体" w:hAnsi="宋体" w:eastAsia="宋体" w:cs="宋体"/>
                <w:i w:val="0"/>
                <w:color w:val="000000"/>
                <w:sz w:val="24"/>
                <w:szCs w:val="24"/>
                <w:u w:val="none"/>
              </w:rPr>
            </w:pPr>
          </w:p>
        </w:tc>
        <w:tc>
          <w:tcPr>
            <w:tcW w:w="1451" w:type="dxa"/>
            <w:shd w:val="clear"/>
            <w:vAlign w:val="center"/>
          </w:tcPr>
          <w:p>
            <w:pPr>
              <w:rPr>
                <w:rFonts w:hint="eastAsia" w:ascii="宋体" w:hAnsi="宋体" w:eastAsia="宋体" w:cs="宋体"/>
                <w:i w:val="0"/>
                <w:color w:val="000000"/>
                <w:sz w:val="24"/>
                <w:szCs w:val="24"/>
                <w:u w:val="none"/>
              </w:rPr>
            </w:pPr>
          </w:p>
        </w:tc>
        <w:tc>
          <w:tcPr>
            <w:tcW w:w="773" w:type="dxa"/>
            <w:shd w:val="clear"/>
            <w:vAlign w:val="center"/>
          </w:tcPr>
          <w:p>
            <w:pPr>
              <w:rPr>
                <w:rFonts w:hint="eastAsia" w:ascii="宋体" w:hAnsi="宋体" w:eastAsia="宋体" w:cs="宋体"/>
                <w:i w:val="0"/>
                <w:color w:val="000000"/>
                <w:sz w:val="24"/>
                <w:szCs w:val="24"/>
                <w:u w:val="none"/>
              </w:rPr>
            </w:pPr>
          </w:p>
        </w:tc>
        <w:tc>
          <w:tcPr>
            <w:tcW w:w="773" w:type="dxa"/>
            <w:gridSpan w:val="2"/>
            <w:shd w:val="clear"/>
            <w:vAlign w:val="center"/>
          </w:tcPr>
          <w:p>
            <w:pPr>
              <w:rPr>
                <w:rFonts w:hint="eastAsia" w:ascii="宋体" w:hAnsi="宋体" w:eastAsia="宋体" w:cs="宋体"/>
                <w:i w:val="0"/>
                <w:color w:val="000000"/>
                <w:sz w:val="24"/>
                <w:szCs w:val="24"/>
                <w:u w:val="none"/>
              </w:rPr>
            </w:pPr>
          </w:p>
        </w:tc>
        <w:tc>
          <w:tcPr>
            <w:tcW w:w="883" w:type="dxa"/>
            <w:gridSpan w:val="2"/>
            <w:shd w:val="clear"/>
            <w:vAlign w:val="center"/>
          </w:tcPr>
          <w:p>
            <w:pPr>
              <w:rPr>
                <w:rFonts w:hint="eastAsia" w:ascii="宋体" w:hAnsi="宋体" w:eastAsia="宋体" w:cs="宋体"/>
                <w:i w:val="0"/>
                <w:color w:val="000000"/>
                <w:sz w:val="24"/>
                <w:szCs w:val="24"/>
                <w:u w:val="none"/>
              </w:rPr>
            </w:pPr>
          </w:p>
        </w:tc>
        <w:tc>
          <w:tcPr>
            <w:tcW w:w="1209" w:type="dxa"/>
            <w:shd w:val="clear"/>
            <w:vAlign w:val="center"/>
          </w:tcPr>
          <w:p>
            <w:pPr>
              <w:rPr>
                <w:rFonts w:hint="eastAsia" w:ascii="宋体" w:hAnsi="宋体" w:eastAsia="宋体" w:cs="宋体"/>
                <w:i w:val="0"/>
                <w:color w:val="000000"/>
                <w:sz w:val="24"/>
                <w:szCs w:val="24"/>
                <w:u w:val="none"/>
              </w:rPr>
            </w:pPr>
          </w:p>
        </w:tc>
        <w:tc>
          <w:tcPr>
            <w:tcW w:w="778" w:type="dxa"/>
            <w:shd w:val="clear"/>
            <w:vAlign w:val="center"/>
          </w:tcPr>
          <w:p>
            <w:pPr>
              <w:rPr>
                <w:rFonts w:hint="eastAsia" w:ascii="宋体" w:hAnsi="宋体" w:eastAsia="宋体" w:cs="宋体"/>
                <w:i w:val="0"/>
                <w:color w:val="000000"/>
                <w:sz w:val="24"/>
                <w:szCs w:val="24"/>
                <w:u w:val="none"/>
              </w:rPr>
            </w:pPr>
          </w:p>
        </w:tc>
        <w:tc>
          <w:tcPr>
            <w:tcW w:w="737" w:type="dxa"/>
            <w:shd w:val="clear"/>
            <w:vAlign w:val="center"/>
          </w:tcPr>
          <w:p>
            <w:pPr>
              <w:rPr>
                <w:rFonts w:hint="eastAsia" w:ascii="宋体" w:hAnsi="宋体" w:eastAsia="宋体" w:cs="宋体"/>
                <w:i w:val="0"/>
                <w:color w:val="000000"/>
                <w:sz w:val="24"/>
                <w:szCs w:val="24"/>
                <w:u w:val="none"/>
              </w:rPr>
            </w:pPr>
          </w:p>
        </w:tc>
        <w:tc>
          <w:tcPr>
            <w:tcW w:w="1701" w:type="dxa"/>
            <w:gridSpan w:val="3"/>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trPr>
        <w:tc>
          <w:tcPr>
            <w:tcW w:w="2250" w:type="dxa"/>
            <w:gridSpan w:val="2"/>
            <w:shd w:val="clear"/>
            <w:vAlign w:val="center"/>
          </w:tcPr>
          <w:p>
            <w:pPr>
              <w:rPr>
                <w:rFonts w:hint="eastAsia" w:ascii="宋体" w:hAnsi="宋体" w:eastAsia="宋体" w:cs="宋体"/>
                <w:i w:val="0"/>
                <w:color w:val="000000"/>
                <w:sz w:val="24"/>
                <w:szCs w:val="24"/>
                <w:u w:val="none"/>
              </w:rPr>
            </w:pPr>
          </w:p>
        </w:tc>
        <w:tc>
          <w:tcPr>
            <w:tcW w:w="2181" w:type="dxa"/>
            <w:gridSpan w:val="2"/>
            <w:shd w:val="clear"/>
            <w:vAlign w:val="center"/>
          </w:tcPr>
          <w:p>
            <w:pPr>
              <w:rPr>
                <w:rFonts w:hint="eastAsia" w:ascii="宋体" w:hAnsi="宋体" w:eastAsia="宋体" w:cs="宋体"/>
                <w:i w:val="0"/>
                <w:color w:val="000000"/>
                <w:sz w:val="24"/>
                <w:szCs w:val="24"/>
                <w:u w:val="none"/>
              </w:rPr>
            </w:pPr>
          </w:p>
        </w:tc>
        <w:tc>
          <w:tcPr>
            <w:tcW w:w="1743" w:type="dxa"/>
            <w:gridSpan w:val="2"/>
            <w:shd w:val="clear"/>
            <w:vAlign w:val="center"/>
          </w:tcPr>
          <w:p>
            <w:pPr>
              <w:rPr>
                <w:rFonts w:hint="eastAsia" w:ascii="宋体" w:hAnsi="宋体" w:eastAsia="宋体" w:cs="宋体"/>
                <w:i w:val="0"/>
                <w:color w:val="000000"/>
                <w:sz w:val="24"/>
                <w:szCs w:val="24"/>
                <w:u w:val="none"/>
              </w:rPr>
            </w:pPr>
          </w:p>
        </w:tc>
        <w:tc>
          <w:tcPr>
            <w:tcW w:w="1451" w:type="dxa"/>
            <w:shd w:val="clear"/>
            <w:vAlign w:val="center"/>
          </w:tcPr>
          <w:p>
            <w:pPr>
              <w:rPr>
                <w:rFonts w:hint="eastAsia" w:ascii="宋体" w:hAnsi="宋体" w:eastAsia="宋体" w:cs="宋体"/>
                <w:i w:val="0"/>
                <w:color w:val="000000"/>
                <w:sz w:val="24"/>
                <w:szCs w:val="24"/>
                <w:u w:val="none"/>
              </w:rPr>
            </w:pPr>
          </w:p>
        </w:tc>
        <w:tc>
          <w:tcPr>
            <w:tcW w:w="773" w:type="dxa"/>
            <w:shd w:val="clear"/>
            <w:vAlign w:val="center"/>
          </w:tcPr>
          <w:p>
            <w:pPr>
              <w:rPr>
                <w:rFonts w:hint="eastAsia" w:ascii="宋体" w:hAnsi="宋体" w:eastAsia="宋体" w:cs="宋体"/>
                <w:i w:val="0"/>
                <w:color w:val="000000"/>
                <w:sz w:val="24"/>
                <w:szCs w:val="24"/>
                <w:u w:val="none"/>
              </w:rPr>
            </w:pPr>
          </w:p>
        </w:tc>
        <w:tc>
          <w:tcPr>
            <w:tcW w:w="773" w:type="dxa"/>
            <w:gridSpan w:val="2"/>
            <w:shd w:val="clear"/>
            <w:vAlign w:val="center"/>
          </w:tcPr>
          <w:p>
            <w:pPr>
              <w:rPr>
                <w:rFonts w:hint="eastAsia" w:ascii="宋体" w:hAnsi="宋体" w:eastAsia="宋体" w:cs="宋体"/>
                <w:i w:val="0"/>
                <w:color w:val="000000"/>
                <w:sz w:val="24"/>
                <w:szCs w:val="24"/>
                <w:u w:val="none"/>
              </w:rPr>
            </w:pPr>
          </w:p>
        </w:tc>
        <w:tc>
          <w:tcPr>
            <w:tcW w:w="883" w:type="dxa"/>
            <w:gridSpan w:val="2"/>
            <w:shd w:val="clear"/>
            <w:vAlign w:val="center"/>
          </w:tcPr>
          <w:p>
            <w:pPr>
              <w:rPr>
                <w:rFonts w:hint="eastAsia" w:ascii="宋体" w:hAnsi="宋体" w:eastAsia="宋体" w:cs="宋体"/>
                <w:i w:val="0"/>
                <w:color w:val="000000"/>
                <w:sz w:val="24"/>
                <w:szCs w:val="24"/>
                <w:u w:val="none"/>
              </w:rPr>
            </w:pPr>
          </w:p>
        </w:tc>
        <w:tc>
          <w:tcPr>
            <w:tcW w:w="1209" w:type="dxa"/>
            <w:shd w:val="clear"/>
            <w:vAlign w:val="center"/>
          </w:tcPr>
          <w:p>
            <w:pPr>
              <w:rPr>
                <w:rFonts w:hint="eastAsia" w:ascii="宋体" w:hAnsi="宋体" w:eastAsia="宋体" w:cs="宋体"/>
                <w:i w:val="0"/>
                <w:color w:val="000000"/>
                <w:sz w:val="24"/>
                <w:szCs w:val="24"/>
                <w:u w:val="none"/>
              </w:rPr>
            </w:pPr>
          </w:p>
        </w:tc>
        <w:tc>
          <w:tcPr>
            <w:tcW w:w="778" w:type="dxa"/>
            <w:shd w:val="clear"/>
            <w:vAlign w:val="center"/>
          </w:tcPr>
          <w:p>
            <w:pPr>
              <w:rPr>
                <w:rFonts w:hint="eastAsia" w:ascii="宋体" w:hAnsi="宋体" w:eastAsia="宋体" w:cs="宋体"/>
                <w:i w:val="0"/>
                <w:color w:val="000000"/>
                <w:sz w:val="24"/>
                <w:szCs w:val="24"/>
                <w:u w:val="none"/>
              </w:rPr>
            </w:pPr>
          </w:p>
        </w:tc>
        <w:tc>
          <w:tcPr>
            <w:tcW w:w="737" w:type="dxa"/>
            <w:shd w:val="clear"/>
            <w:vAlign w:val="center"/>
          </w:tcPr>
          <w:p>
            <w:pPr>
              <w:rPr>
                <w:rFonts w:hint="eastAsia" w:ascii="宋体" w:hAnsi="宋体" w:eastAsia="宋体" w:cs="宋体"/>
                <w:i w:val="0"/>
                <w:color w:val="000000"/>
                <w:sz w:val="24"/>
                <w:szCs w:val="24"/>
                <w:u w:val="none"/>
              </w:rPr>
            </w:pPr>
          </w:p>
        </w:tc>
        <w:tc>
          <w:tcPr>
            <w:tcW w:w="1701" w:type="dxa"/>
            <w:gridSpan w:val="3"/>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trPr>
        <w:tc>
          <w:tcPr>
            <w:tcW w:w="2250" w:type="dxa"/>
            <w:gridSpan w:val="2"/>
            <w:shd w:val="clear"/>
            <w:vAlign w:val="center"/>
          </w:tcPr>
          <w:p>
            <w:pPr>
              <w:rPr>
                <w:rFonts w:hint="eastAsia" w:ascii="宋体" w:hAnsi="宋体" w:eastAsia="宋体" w:cs="宋体"/>
                <w:i w:val="0"/>
                <w:color w:val="000000"/>
                <w:sz w:val="24"/>
                <w:szCs w:val="24"/>
                <w:u w:val="none"/>
              </w:rPr>
            </w:pPr>
          </w:p>
        </w:tc>
        <w:tc>
          <w:tcPr>
            <w:tcW w:w="2181" w:type="dxa"/>
            <w:gridSpan w:val="2"/>
            <w:shd w:val="clear"/>
            <w:vAlign w:val="center"/>
          </w:tcPr>
          <w:p>
            <w:pPr>
              <w:rPr>
                <w:rFonts w:hint="eastAsia" w:ascii="宋体" w:hAnsi="宋体" w:eastAsia="宋体" w:cs="宋体"/>
                <w:i w:val="0"/>
                <w:color w:val="000000"/>
                <w:sz w:val="24"/>
                <w:szCs w:val="24"/>
                <w:u w:val="none"/>
              </w:rPr>
            </w:pPr>
          </w:p>
        </w:tc>
        <w:tc>
          <w:tcPr>
            <w:tcW w:w="1743" w:type="dxa"/>
            <w:gridSpan w:val="2"/>
            <w:shd w:val="clear"/>
            <w:vAlign w:val="center"/>
          </w:tcPr>
          <w:p>
            <w:pPr>
              <w:rPr>
                <w:rFonts w:hint="eastAsia" w:ascii="宋体" w:hAnsi="宋体" w:eastAsia="宋体" w:cs="宋体"/>
                <w:i w:val="0"/>
                <w:color w:val="000000"/>
                <w:sz w:val="24"/>
                <w:szCs w:val="24"/>
                <w:u w:val="none"/>
              </w:rPr>
            </w:pPr>
          </w:p>
        </w:tc>
        <w:tc>
          <w:tcPr>
            <w:tcW w:w="1451" w:type="dxa"/>
            <w:shd w:val="clear"/>
            <w:vAlign w:val="center"/>
          </w:tcPr>
          <w:p>
            <w:pPr>
              <w:rPr>
                <w:rFonts w:hint="eastAsia" w:ascii="宋体" w:hAnsi="宋体" w:eastAsia="宋体" w:cs="宋体"/>
                <w:i w:val="0"/>
                <w:color w:val="000000"/>
                <w:sz w:val="24"/>
                <w:szCs w:val="24"/>
                <w:u w:val="none"/>
              </w:rPr>
            </w:pPr>
          </w:p>
        </w:tc>
        <w:tc>
          <w:tcPr>
            <w:tcW w:w="773" w:type="dxa"/>
            <w:shd w:val="clear"/>
            <w:vAlign w:val="center"/>
          </w:tcPr>
          <w:p>
            <w:pPr>
              <w:rPr>
                <w:rFonts w:hint="eastAsia" w:ascii="宋体" w:hAnsi="宋体" w:eastAsia="宋体" w:cs="宋体"/>
                <w:i w:val="0"/>
                <w:color w:val="000000"/>
                <w:sz w:val="24"/>
                <w:szCs w:val="24"/>
                <w:u w:val="none"/>
              </w:rPr>
            </w:pPr>
          </w:p>
        </w:tc>
        <w:tc>
          <w:tcPr>
            <w:tcW w:w="773" w:type="dxa"/>
            <w:gridSpan w:val="2"/>
            <w:shd w:val="clear"/>
            <w:vAlign w:val="center"/>
          </w:tcPr>
          <w:p>
            <w:pPr>
              <w:rPr>
                <w:rFonts w:hint="eastAsia" w:ascii="宋体" w:hAnsi="宋体" w:eastAsia="宋体" w:cs="宋体"/>
                <w:i w:val="0"/>
                <w:color w:val="000000"/>
                <w:sz w:val="24"/>
                <w:szCs w:val="24"/>
                <w:u w:val="none"/>
              </w:rPr>
            </w:pPr>
          </w:p>
        </w:tc>
        <w:tc>
          <w:tcPr>
            <w:tcW w:w="883" w:type="dxa"/>
            <w:gridSpan w:val="2"/>
            <w:shd w:val="clear"/>
            <w:vAlign w:val="center"/>
          </w:tcPr>
          <w:p>
            <w:pPr>
              <w:rPr>
                <w:rFonts w:hint="eastAsia" w:ascii="宋体" w:hAnsi="宋体" w:eastAsia="宋体" w:cs="宋体"/>
                <w:i w:val="0"/>
                <w:color w:val="000000"/>
                <w:sz w:val="24"/>
                <w:szCs w:val="24"/>
                <w:u w:val="none"/>
              </w:rPr>
            </w:pPr>
          </w:p>
        </w:tc>
        <w:tc>
          <w:tcPr>
            <w:tcW w:w="1209" w:type="dxa"/>
            <w:shd w:val="clear"/>
            <w:vAlign w:val="center"/>
          </w:tcPr>
          <w:p>
            <w:pPr>
              <w:rPr>
                <w:rFonts w:hint="eastAsia" w:ascii="宋体" w:hAnsi="宋体" w:eastAsia="宋体" w:cs="宋体"/>
                <w:i w:val="0"/>
                <w:color w:val="000000"/>
                <w:sz w:val="24"/>
                <w:szCs w:val="24"/>
                <w:u w:val="none"/>
              </w:rPr>
            </w:pPr>
          </w:p>
        </w:tc>
        <w:tc>
          <w:tcPr>
            <w:tcW w:w="778" w:type="dxa"/>
            <w:shd w:val="clear"/>
            <w:vAlign w:val="center"/>
          </w:tcPr>
          <w:p>
            <w:pPr>
              <w:rPr>
                <w:rFonts w:hint="eastAsia" w:ascii="宋体" w:hAnsi="宋体" w:eastAsia="宋体" w:cs="宋体"/>
                <w:i w:val="0"/>
                <w:color w:val="000000"/>
                <w:sz w:val="24"/>
                <w:szCs w:val="24"/>
                <w:u w:val="none"/>
              </w:rPr>
            </w:pPr>
          </w:p>
        </w:tc>
        <w:tc>
          <w:tcPr>
            <w:tcW w:w="737" w:type="dxa"/>
            <w:shd w:val="clear"/>
            <w:vAlign w:val="center"/>
          </w:tcPr>
          <w:p>
            <w:pPr>
              <w:rPr>
                <w:rFonts w:hint="eastAsia" w:ascii="宋体" w:hAnsi="宋体" w:eastAsia="宋体" w:cs="宋体"/>
                <w:i w:val="0"/>
                <w:color w:val="000000"/>
                <w:sz w:val="24"/>
                <w:szCs w:val="24"/>
                <w:u w:val="none"/>
              </w:rPr>
            </w:pPr>
          </w:p>
        </w:tc>
        <w:tc>
          <w:tcPr>
            <w:tcW w:w="1701" w:type="dxa"/>
            <w:gridSpan w:val="3"/>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trPr>
        <w:tc>
          <w:tcPr>
            <w:tcW w:w="2250" w:type="dxa"/>
            <w:gridSpan w:val="2"/>
            <w:shd w:val="clear"/>
            <w:vAlign w:val="center"/>
          </w:tcPr>
          <w:p>
            <w:pPr>
              <w:rPr>
                <w:rFonts w:hint="eastAsia" w:ascii="宋体" w:hAnsi="宋体" w:eastAsia="宋体" w:cs="宋体"/>
                <w:i w:val="0"/>
                <w:color w:val="000000"/>
                <w:sz w:val="24"/>
                <w:szCs w:val="24"/>
                <w:u w:val="none"/>
              </w:rPr>
            </w:pPr>
          </w:p>
        </w:tc>
        <w:tc>
          <w:tcPr>
            <w:tcW w:w="2181" w:type="dxa"/>
            <w:gridSpan w:val="2"/>
            <w:shd w:val="clear"/>
            <w:vAlign w:val="center"/>
          </w:tcPr>
          <w:p>
            <w:pPr>
              <w:rPr>
                <w:rFonts w:hint="eastAsia" w:ascii="宋体" w:hAnsi="宋体" w:eastAsia="宋体" w:cs="宋体"/>
                <w:i w:val="0"/>
                <w:color w:val="000000"/>
                <w:sz w:val="24"/>
                <w:szCs w:val="24"/>
                <w:u w:val="none"/>
              </w:rPr>
            </w:pPr>
          </w:p>
        </w:tc>
        <w:tc>
          <w:tcPr>
            <w:tcW w:w="1743" w:type="dxa"/>
            <w:gridSpan w:val="2"/>
            <w:shd w:val="clear"/>
            <w:vAlign w:val="center"/>
          </w:tcPr>
          <w:p>
            <w:pPr>
              <w:rPr>
                <w:rFonts w:hint="eastAsia" w:ascii="宋体" w:hAnsi="宋体" w:eastAsia="宋体" w:cs="宋体"/>
                <w:i w:val="0"/>
                <w:color w:val="000000"/>
                <w:sz w:val="24"/>
                <w:szCs w:val="24"/>
                <w:u w:val="none"/>
              </w:rPr>
            </w:pPr>
          </w:p>
        </w:tc>
        <w:tc>
          <w:tcPr>
            <w:tcW w:w="1451" w:type="dxa"/>
            <w:shd w:val="clear"/>
            <w:vAlign w:val="center"/>
          </w:tcPr>
          <w:p>
            <w:pPr>
              <w:rPr>
                <w:rFonts w:hint="eastAsia" w:ascii="宋体" w:hAnsi="宋体" w:eastAsia="宋体" w:cs="宋体"/>
                <w:i w:val="0"/>
                <w:color w:val="000000"/>
                <w:sz w:val="24"/>
                <w:szCs w:val="24"/>
                <w:u w:val="none"/>
              </w:rPr>
            </w:pPr>
          </w:p>
        </w:tc>
        <w:tc>
          <w:tcPr>
            <w:tcW w:w="773" w:type="dxa"/>
            <w:shd w:val="clear"/>
            <w:vAlign w:val="center"/>
          </w:tcPr>
          <w:p>
            <w:pPr>
              <w:rPr>
                <w:rFonts w:hint="eastAsia" w:ascii="宋体" w:hAnsi="宋体" w:eastAsia="宋体" w:cs="宋体"/>
                <w:i w:val="0"/>
                <w:color w:val="000000"/>
                <w:sz w:val="24"/>
                <w:szCs w:val="24"/>
                <w:u w:val="none"/>
              </w:rPr>
            </w:pPr>
          </w:p>
        </w:tc>
        <w:tc>
          <w:tcPr>
            <w:tcW w:w="773" w:type="dxa"/>
            <w:gridSpan w:val="2"/>
            <w:shd w:val="clear"/>
            <w:vAlign w:val="center"/>
          </w:tcPr>
          <w:p>
            <w:pPr>
              <w:rPr>
                <w:rFonts w:hint="eastAsia" w:ascii="宋体" w:hAnsi="宋体" w:eastAsia="宋体" w:cs="宋体"/>
                <w:i w:val="0"/>
                <w:color w:val="000000"/>
                <w:sz w:val="24"/>
                <w:szCs w:val="24"/>
                <w:u w:val="none"/>
              </w:rPr>
            </w:pPr>
          </w:p>
        </w:tc>
        <w:tc>
          <w:tcPr>
            <w:tcW w:w="883" w:type="dxa"/>
            <w:gridSpan w:val="2"/>
            <w:shd w:val="clear"/>
            <w:vAlign w:val="center"/>
          </w:tcPr>
          <w:p>
            <w:pPr>
              <w:rPr>
                <w:rFonts w:hint="eastAsia" w:ascii="宋体" w:hAnsi="宋体" w:eastAsia="宋体" w:cs="宋体"/>
                <w:i w:val="0"/>
                <w:color w:val="000000"/>
                <w:sz w:val="24"/>
                <w:szCs w:val="24"/>
                <w:u w:val="none"/>
              </w:rPr>
            </w:pPr>
          </w:p>
        </w:tc>
        <w:tc>
          <w:tcPr>
            <w:tcW w:w="1209" w:type="dxa"/>
            <w:shd w:val="clear"/>
            <w:vAlign w:val="center"/>
          </w:tcPr>
          <w:p>
            <w:pPr>
              <w:rPr>
                <w:rFonts w:hint="eastAsia" w:ascii="宋体" w:hAnsi="宋体" w:eastAsia="宋体" w:cs="宋体"/>
                <w:i w:val="0"/>
                <w:color w:val="000000"/>
                <w:sz w:val="24"/>
                <w:szCs w:val="24"/>
                <w:u w:val="none"/>
              </w:rPr>
            </w:pPr>
          </w:p>
        </w:tc>
        <w:tc>
          <w:tcPr>
            <w:tcW w:w="778" w:type="dxa"/>
            <w:shd w:val="clear"/>
            <w:vAlign w:val="center"/>
          </w:tcPr>
          <w:p>
            <w:pPr>
              <w:rPr>
                <w:rFonts w:hint="eastAsia" w:ascii="宋体" w:hAnsi="宋体" w:eastAsia="宋体" w:cs="宋体"/>
                <w:i w:val="0"/>
                <w:color w:val="000000"/>
                <w:sz w:val="24"/>
                <w:szCs w:val="24"/>
                <w:u w:val="none"/>
              </w:rPr>
            </w:pPr>
          </w:p>
        </w:tc>
        <w:tc>
          <w:tcPr>
            <w:tcW w:w="737" w:type="dxa"/>
            <w:shd w:val="clear"/>
            <w:vAlign w:val="center"/>
          </w:tcPr>
          <w:p>
            <w:pPr>
              <w:rPr>
                <w:rFonts w:hint="eastAsia" w:ascii="宋体" w:hAnsi="宋体" w:eastAsia="宋体" w:cs="宋体"/>
                <w:i w:val="0"/>
                <w:color w:val="000000"/>
                <w:sz w:val="24"/>
                <w:szCs w:val="24"/>
                <w:u w:val="none"/>
              </w:rPr>
            </w:pPr>
          </w:p>
        </w:tc>
        <w:tc>
          <w:tcPr>
            <w:tcW w:w="1701" w:type="dxa"/>
            <w:gridSpan w:val="3"/>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558" w:type="dxa"/>
          <w:trHeight w:val="600" w:hRule="atLeast"/>
        </w:trPr>
        <w:tc>
          <w:tcPr>
            <w:tcW w:w="4026" w:type="dxa"/>
            <w:gridSpan w:val="3"/>
            <w:shd w:val="clear"/>
            <w:vAlign w:val="center"/>
          </w:tcPr>
          <w:p>
            <w:pPr>
              <w:rPr>
                <w:rFonts w:hint="eastAsia" w:ascii="宋体" w:hAnsi="宋体" w:eastAsia="宋体" w:cs="宋体"/>
                <w:b/>
                <w:i w:val="0"/>
                <w:color w:val="000000"/>
                <w:sz w:val="40"/>
                <w:szCs w:val="40"/>
                <w:u w:val="none"/>
              </w:rPr>
            </w:pPr>
          </w:p>
          <w:p>
            <w:pPr>
              <w:rPr>
                <w:rFonts w:hint="eastAsia" w:ascii="宋体" w:hAnsi="宋体" w:eastAsia="宋体" w:cs="宋体"/>
                <w:b/>
                <w:i w:val="0"/>
                <w:color w:val="000000"/>
                <w:sz w:val="40"/>
                <w:szCs w:val="40"/>
                <w:u w:val="none"/>
              </w:rPr>
            </w:pPr>
          </w:p>
          <w:p>
            <w:pPr>
              <w:rPr>
                <w:rFonts w:hint="eastAsia" w:ascii="宋体" w:hAnsi="宋体" w:eastAsia="宋体" w:cs="宋体"/>
                <w:b/>
                <w:i w:val="0"/>
                <w:color w:val="000000"/>
                <w:sz w:val="40"/>
                <w:szCs w:val="40"/>
                <w:u w:val="none"/>
              </w:rPr>
            </w:pPr>
          </w:p>
          <w:p>
            <w:pPr>
              <w:rPr>
                <w:rFonts w:hint="eastAsia" w:ascii="宋体" w:hAnsi="宋体" w:eastAsia="宋体" w:cs="宋体"/>
                <w:b/>
                <w:i w:val="0"/>
                <w:color w:val="000000"/>
                <w:sz w:val="40"/>
                <w:szCs w:val="40"/>
                <w:u w:val="none"/>
              </w:rPr>
            </w:pPr>
          </w:p>
          <w:p>
            <w:pPr>
              <w:rPr>
                <w:rFonts w:hint="eastAsia" w:ascii="宋体" w:hAnsi="宋体" w:eastAsia="宋体" w:cs="宋体"/>
                <w:b/>
                <w:i w:val="0"/>
                <w:color w:val="000000"/>
                <w:sz w:val="40"/>
                <w:szCs w:val="40"/>
                <w:u w:val="none"/>
              </w:rPr>
            </w:pPr>
          </w:p>
        </w:tc>
        <w:tc>
          <w:tcPr>
            <w:tcW w:w="4463" w:type="dxa"/>
            <w:gridSpan w:val="6"/>
            <w:shd w:val="clear"/>
            <w:vAlign w:val="center"/>
          </w:tcPr>
          <w:p>
            <w:pPr>
              <w:rPr>
                <w:rFonts w:hint="eastAsia" w:ascii="宋体" w:hAnsi="宋体" w:eastAsia="宋体" w:cs="宋体"/>
                <w:b/>
                <w:i w:val="0"/>
                <w:color w:val="000000"/>
                <w:sz w:val="40"/>
                <w:szCs w:val="40"/>
                <w:u w:val="none"/>
              </w:rPr>
            </w:pPr>
          </w:p>
        </w:tc>
        <w:tc>
          <w:tcPr>
            <w:tcW w:w="4432" w:type="dxa"/>
            <w:gridSpan w:val="7"/>
            <w:shd w:val="clear"/>
            <w:vAlign w:val="center"/>
          </w:tcPr>
          <w:p>
            <w:pPr>
              <w:rPr>
                <w:rFonts w:hint="eastAsia" w:ascii="宋体" w:hAnsi="宋体" w:eastAsia="宋体" w:cs="宋体"/>
                <w:b/>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600" w:hRule="atLeast"/>
        </w:trPr>
        <w:tc>
          <w:tcPr>
            <w:tcW w:w="4416" w:type="dxa"/>
            <w:gridSpan w:val="4"/>
            <w:shd w:val="clear"/>
            <w:vAlign w:val="bottom"/>
          </w:tcPr>
          <w:p>
            <w:pPr>
              <w:keepNext w:val="0"/>
              <w:keepLines w:val="0"/>
              <w:widowControl/>
              <w:suppressLineNumbers w:val="0"/>
              <w:jc w:val="both"/>
              <w:textAlignment w:val="bottom"/>
              <w:rPr>
                <w:rFonts w:hint="eastAsia" w:ascii="宋体" w:hAnsi="宋体" w:eastAsia="宋体" w:cs="宋体"/>
                <w:b/>
                <w:i w:val="0"/>
                <w:color w:val="000000"/>
                <w:kern w:val="0"/>
                <w:sz w:val="40"/>
                <w:szCs w:val="40"/>
                <w:u w:val="none"/>
                <w:lang w:val="en-US" w:eastAsia="zh-CN" w:bidi="ar"/>
              </w:rPr>
            </w:pPr>
          </w:p>
        </w:tc>
        <w:tc>
          <w:tcPr>
            <w:tcW w:w="4896" w:type="dxa"/>
            <w:gridSpan w:val="6"/>
            <w:shd w:val="clear"/>
            <w:vAlign w:val="bottom"/>
          </w:tcPr>
          <w:p>
            <w:pPr>
              <w:jc w:val="both"/>
              <w:rPr>
                <w:rFonts w:hint="eastAsia" w:ascii="宋体" w:hAnsi="宋体" w:eastAsia="宋体" w:cs="宋体"/>
                <w:b/>
                <w:i w:val="0"/>
                <w:color w:val="000000"/>
                <w:sz w:val="40"/>
                <w:szCs w:val="40"/>
                <w:u w:val="none"/>
                <w:lang w:val="en-US" w:eastAsia="zh-CN"/>
              </w:rPr>
            </w:pPr>
            <w:r>
              <w:rPr>
                <w:rFonts w:hint="eastAsia" w:ascii="宋体" w:hAnsi="宋体" w:eastAsia="宋体" w:cs="宋体"/>
                <w:b/>
                <w:i w:val="0"/>
                <w:color w:val="000000"/>
                <w:sz w:val="40"/>
                <w:szCs w:val="40"/>
                <w:u w:val="none"/>
                <w:lang w:val="en-US" w:eastAsia="zh-CN"/>
              </w:rPr>
              <w:t>2019年部门收入预算表</w:t>
            </w:r>
          </w:p>
        </w:tc>
        <w:tc>
          <w:tcPr>
            <w:tcW w:w="4884" w:type="dxa"/>
            <w:gridSpan w:val="6"/>
            <w:shd w:val="clear"/>
            <w:vAlign w:val="center"/>
          </w:tcPr>
          <w:p>
            <w:pPr>
              <w:tabs>
                <w:tab w:val="left" w:pos="3740"/>
              </w:tabs>
              <w:ind w:firstLine="3300" w:firstLineChars="1100"/>
              <w:jc w:val="both"/>
              <w:rPr>
                <w:rFonts w:hint="eastAsia" w:ascii="宋体" w:hAnsi="宋体" w:eastAsia="宋体" w:cs="宋体"/>
                <w:b/>
                <w:i w:val="0"/>
                <w:color w:val="000000"/>
                <w:sz w:val="40"/>
                <w:szCs w:val="40"/>
                <w:u w:val="none"/>
                <w:lang w:val="en-US" w:eastAsia="zh-CN"/>
              </w:rPr>
            </w:pPr>
            <w:r>
              <w:rPr>
                <w:rFonts w:hint="eastAsia" w:ascii="宋体" w:hAnsi="宋体" w:eastAsia="宋体" w:cs="宋体"/>
                <w:b w:val="0"/>
                <w:bCs/>
                <w:i w:val="0"/>
                <w:color w:val="000000"/>
                <w:sz w:val="30"/>
                <w:szCs w:val="30"/>
                <w:u w:val="none"/>
                <w:lang w:eastAsia="zh-CN"/>
              </w:rPr>
              <w:t>预算</w:t>
            </w:r>
            <w:r>
              <w:rPr>
                <w:rFonts w:hint="eastAsia" w:ascii="宋体" w:hAnsi="宋体" w:eastAsia="宋体" w:cs="宋体"/>
                <w:b w:val="0"/>
                <w:bCs/>
                <w:i w:val="0"/>
                <w:color w:val="000000"/>
                <w:sz w:val="30"/>
                <w:szCs w:val="30"/>
                <w:u w:val="none"/>
                <w:lang w:val="en-US" w:eastAsia="zh-CN"/>
              </w:rPr>
              <w:t>02表</w:t>
            </w:r>
            <w:r>
              <w:rPr>
                <w:rFonts w:hint="eastAsia" w:ascii="宋体" w:hAnsi="宋体" w:eastAsia="宋体" w:cs="宋体"/>
                <w:b/>
                <w:i w:val="0"/>
                <w:color w:val="000000"/>
                <w:sz w:val="40"/>
                <w:szCs w:val="40"/>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部门名称：内乡县市场发展服务中心</w:t>
            </w:r>
          </w:p>
        </w:tc>
        <w:tc>
          <w:tcPr>
            <w:tcW w:w="4896" w:type="dxa"/>
            <w:gridSpan w:val="6"/>
            <w:tcBorders>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4884" w:type="dxa"/>
            <w:gridSpan w:val="6"/>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8833"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4884"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4896"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4884"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4896"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4884"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4896"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4884"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w:t>
            </w:r>
          </w:p>
        </w:tc>
        <w:tc>
          <w:tcPr>
            <w:tcW w:w="489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二、收费安排</w:t>
            </w:r>
          </w:p>
        </w:tc>
        <w:tc>
          <w:tcPr>
            <w:tcW w:w="0" w:type="auto"/>
            <w:gridSpan w:val="6"/>
            <w:shd w:val="clear"/>
            <w:vAlign w:val="center"/>
          </w:tcPr>
          <w:p>
            <w:pPr>
              <w:rPr>
                <w:rFonts w:hint="eastAsia" w:ascii="宋体" w:hAnsi="宋体" w:eastAsia="宋体" w:cs="宋体"/>
                <w:i w:val="0"/>
                <w:color w:val="000000"/>
                <w:sz w:val="18"/>
                <w:szCs w:val="18"/>
                <w:u w:val="none"/>
              </w:rPr>
            </w:pP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三、专项收入</w:t>
            </w:r>
          </w:p>
        </w:tc>
        <w:tc>
          <w:tcPr>
            <w:tcW w:w="0" w:type="auto"/>
            <w:gridSpan w:val="6"/>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四、罚没收入</w:t>
            </w:r>
          </w:p>
        </w:tc>
        <w:tc>
          <w:tcPr>
            <w:tcW w:w="0" w:type="auto"/>
            <w:gridSpan w:val="6"/>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五、国有资本收益</w:t>
            </w:r>
          </w:p>
        </w:tc>
        <w:tc>
          <w:tcPr>
            <w:tcW w:w="489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六、政府住房基金收入</w:t>
            </w:r>
          </w:p>
        </w:tc>
        <w:tc>
          <w:tcPr>
            <w:tcW w:w="0" w:type="auto"/>
            <w:gridSpan w:val="6"/>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七、政府性基金</w:t>
            </w:r>
          </w:p>
        </w:tc>
        <w:tc>
          <w:tcPr>
            <w:tcW w:w="0" w:type="auto"/>
            <w:gridSpan w:val="6"/>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八、专户收入</w:t>
            </w:r>
          </w:p>
        </w:tc>
        <w:tc>
          <w:tcPr>
            <w:tcW w:w="489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19.0 </w:t>
            </w: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九、结余结转收入</w:t>
            </w:r>
          </w:p>
        </w:tc>
        <w:tc>
          <w:tcPr>
            <w:tcW w:w="0" w:type="auto"/>
            <w:gridSpan w:val="6"/>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十、本级财力补助下级支出</w:t>
            </w:r>
          </w:p>
        </w:tc>
        <w:tc>
          <w:tcPr>
            <w:tcW w:w="0" w:type="auto"/>
            <w:gridSpan w:val="6"/>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十一、提前下达转移支付支出</w:t>
            </w:r>
          </w:p>
        </w:tc>
        <w:tc>
          <w:tcPr>
            <w:tcW w:w="0" w:type="auto"/>
            <w:gridSpan w:val="6"/>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4896" w:type="dxa"/>
            <w:gridSpan w:val="6"/>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4896" w:type="dxa"/>
            <w:gridSpan w:val="6"/>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420" w:hRule="atLeast"/>
        </w:trPr>
        <w:tc>
          <w:tcPr>
            <w:tcW w:w="4416" w:type="dxa"/>
            <w:gridSpan w:val="4"/>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489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464.3 </w:t>
            </w:r>
          </w:p>
        </w:tc>
        <w:tc>
          <w:tcPr>
            <w:tcW w:w="4884" w:type="dxa"/>
            <w:gridSpan w:val="6"/>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193" w:hRule="atLeast"/>
        </w:trPr>
        <w:tc>
          <w:tcPr>
            <w:tcW w:w="0" w:type="auto"/>
            <w:gridSpan w:val="4"/>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253" w:hRule="atLeast"/>
        </w:trPr>
        <w:tc>
          <w:tcPr>
            <w:tcW w:w="0" w:type="auto"/>
            <w:gridSpan w:val="4"/>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253" w:hRule="atLeast"/>
        </w:trPr>
        <w:tc>
          <w:tcPr>
            <w:tcW w:w="0" w:type="auto"/>
            <w:gridSpan w:val="4"/>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253" w:hRule="atLeast"/>
        </w:trPr>
        <w:tc>
          <w:tcPr>
            <w:tcW w:w="0" w:type="auto"/>
            <w:gridSpan w:val="4"/>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253" w:hRule="atLeast"/>
        </w:trPr>
        <w:tc>
          <w:tcPr>
            <w:tcW w:w="0" w:type="auto"/>
            <w:gridSpan w:val="4"/>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253" w:hRule="atLeast"/>
        </w:trPr>
        <w:tc>
          <w:tcPr>
            <w:tcW w:w="0" w:type="auto"/>
            <w:gridSpan w:val="4"/>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253" w:hRule="atLeast"/>
        </w:trPr>
        <w:tc>
          <w:tcPr>
            <w:tcW w:w="0" w:type="auto"/>
            <w:gridSpan w:val="4"/>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9" w:type="dxa"/>
          <w:wAfter w:w="204" w:type="dxa"/>
          <w:trHeight w:val="253" w:hRule="atLeast"/>
        </w:trPr>
        <w:tc>
          <w:tcPr>
            <w:tcW w:w="0" w:type="auto"/>
            <w:gridSpan w:val="4"/>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c>
          <w:tcPr>
            <w:tcW w:w="0" w:type="auto"/>
            <w:gridSpan w:val="6"/>
            <w:shd w:val="clear"/>
            <w:vAlign w:val="center"/>
          </w:tcPr>
          <w:p>
            <w:pPr>
              <w:rPr>
                <w:rFonts w:hint="eastAsia" w:ascii="宋体" w:hAnsi="宋体" w:eastAsia="宋体" w:cs="宋体"/>
                <w:i w:val="0"/>
                <w:color w:val="000000"/>
                <w:sz w:val="24"/>
                <w:szCs w:val="24"/>
                <w:u w:val="none"/>
              </w:rPr>
            </w:pPr>
          </w:p>
        </w:tc>
      </w:tr>
    </w:tbl>
    <w:p>
      <w:pPr>
        <w:rPr>
          <w:rFonts w:hint="eastAsia" w:ascii="宋体" w:hAnsi="宋体" w:eastAsia="宋体" w:cs="宋体"/>
          <w:i w:val="0"/>
          <w:color w:val="000000"/>
          <w:sz w:val="24"/>
          <w:szCs w:val="24"/>
          <w:u w:val="none"/>
        </w:rPr>
        <w:sectPr>
          <w:pgSz w:w="16838" w:h="11906" w:orient="landscape"/>
          <w:pgMar w:top="1800" w:right="1440" w:bottom="1800" w:left="1440" w:header="708" w:footer="708" w:gutter="0"/>
          <w:pgBorders w:offsetFrom="page">
            <w:top w:val="none" w:sz="0" w:space="0"/>
            <w:left w:val="none" w:sz="0" w:space="0"/>
            <w:bottom w:val="none" w:sz="0" w:space="0"/>
            <w:right w:val="none" w:sz="0" w:space="0"/>
          </w:pgBorders>
          <w:cols w:space="708" w:num="1"/>
          <w:docGrid w:linePitch="360" w:charSpace="0"/>
        </w:sectPr>
      </w:pPr>
    </w:p>
    <w:tbl>
      <w:tblPr>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39"/>
        <w:gridCol w:w="492"/>
        <w:gridCol w:w="480"/>
        <w:gridCol w:w="925"/>
        <w:gridCol w:w="1620"/>
        <w:gridCol w:w="1596"/>
        <w:gridCol w:w="864"/>
        <w:gridCol w:w="1416"/>
        <w:gridCol w:w="1452"/>
        <w:gridCol w:w="1416"/>
        <w:gridCol w:w="1452"/>
        <w:gridCol w:w="864"/>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3980" w:type="dxa"/>
            <w:gridSpan w:val="13"/>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lang w:val="en-US"/>
              </w:rPr>
            </w:pPr>
            <w:r>
              <w:rPr>
                <w:rFonts w:hint="eastAsia" w:ascii="宋体" w:hAnsi="宋体" w:eastAsia="宋体" w:cs="宋体"/>
                <w:b/>
                <w:i w:val="0"/>
                <w:color w:val="000000"/>
                <w:kern w:val="0"/>
                <w:sz w:val="40"/>
                <w:szCs w:val="40"/>
                <w:u w:val="none"/>
                <w:lang w:val="en-US" w:eastAsia="zh-CN" w:bidi="ar"/>
              </w:rPr>
              <w:t xml:space="preserve">               2019年部门支出总体情况表                </w:t>
            </w:r>
            <w:r>
              <w:rPr>
                <w:rFonts w:hint="eastAsia" w:ascii="宋体" w:hAnsi="宋体" w:eastAsia="宋体" w:cs="宋体"/>
                <w:b w:val="0"/>
                <w:bCs/>
                <w:i w:val="0"/>
                <w:color w:val="000000"/>
                <w:kern w:val="0"/>
                <w:sz w:val="30"/>
                <w:szCs w:val="30"/>
                <w:u w:val="none"/>
                <w:lang w:val="en-US" w:eastAsia="zh-CN" w:bidi="ar"/>
              </w:rPr>
              <w:t xml:space="preserve"> 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980" w:type="dxa"/>
            <w:gridSpan w:val="13"/>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内乡县市场发展服务中心</w:t>
            </w:r>
          </w:p>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492"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9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单位代码</w:t>
            </w:r>
          </w:p>
        </w:tc>
        <w:tc>
          <w:tcPr>
            <w:tcW w:w="16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单位（科目名称）</w:t>
            </w:r>
          </w:p>
        </w:tc>
        <w:tc>
          <w:tcPr>
            <w:tcW w:w="15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864" w:type="dxa"/>
            <w:tcBorders>
              <w:top w:val="single" w:color="000000" w:sz="4" w:space="0"/>
              <w:bottom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416" w:type="dxa"/>
            <w:tcBorders>
              <w:top w:val="single" w:color="000000" w:sz="4" w:space="0"/>
              <w:bottom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1452" w:type="dxa"/>
            <w:tcBorders>
              <w:top w:val="single" w:color="000000" w:sz="4" w:space="0"/>
              <w:bottom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1416" w:type="dxa"/>
            <w:tcBorders>
              <w:top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145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864" w:type="dxa"/>
            <w:tcBorders>
              <w:top w:val="single" w:color="000000" w:sz="4" w:space="0"/>
              <w:bottom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64" w:type="dxa"/>
            <w:tcBorders>
              <w:top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4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9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64"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行政人员经费</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事业人员经费</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一般性项目</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39"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25"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20"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96"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6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16"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45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416"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45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6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6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39"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492"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925" w:type="dxa"/>
            <w:tcBorders>
              <w:top w:val="single" w:color="000000" w:sz="4" w:space="0"/>
              <w:left w:val="single" w:color="000000" w:sz="4" w:space="0"/>
              <w:bottom w:val="single" w:color="000000" w:sz="4" w:space="0"/>
            </w:tcBorders>
            <w:shd w:val="clear"/>
            <w:vAlign w:val="center"/>
          </w:tcPr>
          <w:p>
            <w:pPr>
              <w:jc w:val="left"/>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464.3 </w:t>
            </w:r>
          </w:p>
        </w:tc>
        <w:tc>
          <w:tcPr>
            <w:tcW w:w="864"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1416" w:type="dxa"/>
            <w:tcBorders>
              <w:top w:val="single" w:color="000000" w:sz="4" w:space="0"/>
              <w:bottom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45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432.0 </w:t>
            </w:r>
          </w:p>
        </w:tc>
        <w:tc>
          <w:tcPr>
            <w:tcW w:w="1416"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31.0 </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31.0 </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39"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492"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9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127001</w:t>
            </w:r>
          </w:p>
        </w:tc>
        <w:tc>
          <w:tcPr>
            <w:tcW w:w="162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内乡县市场发展服务中心机关</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464.3 </w:t>
            </w:r>
          </w:p>
        </w:tc>
        <w:tc>
          <w:tcPr>
            <w:tcW w:w="864"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1416" w:type="dxa"/>
            <w:tcBorders>
              <w:top w:val="single" w:color="000000" w:sz="4" w:space="0"/>
              <w:bottom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45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432.0 </w:t>
            </w:r>
          </w:p>
        </w:tc>
        <w:tc>
          <w:tcPr>
            <w:tcW w:w="1416"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31.0 </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31.0 </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3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4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4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9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127001</w:t>
            </w:r>
          </w:p>
        </w:tc>
        <w:tc>
          <w:tcPr>
            <w:tcW w:w="162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其他一般公共服务支出</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464.3 </w:t>
            </w:r>
          </w:p>
        </w:tc>
        <w:tc>
          <w:tcPr>
            <w:tcW w:w="864"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1416" w:type="dxa"/>
            <w:tcBorders>
              <w:top w:val="single" w:color="000000" w:sz="4" w:space="0"/>
              <w:bottom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45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432.0 </w:t>
            </w:r>
          </w:p>
        </w:tc>
        <w:tc>
          <w:tcPr>
            <w:tcW w:w="1416"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31.0 </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31.0 </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bl>
    <w:p>
      <w:pPr>
        <w:rPr>
          <w:rFonts w:hint="eastAsia" w:ascii="宋体" w:hAnsi="宋体" w:eastAsia="宋体" w:cs="宋体"/>
          <w:i w:val="0"/>
          <w:color w:val="000000"/>
          <w:sz w:val="24"/>
          <w:szCs w:val="24"/>
          <w:u w:val="none"/>
        </w:rPr>
        <w:sectPr>
          <w:pgSz w:w="16838" w:h="11906" w:orient="landscape"/>
          <w:pgMar w:top="1800" w:right="1440" w:bottom="1800" w:left="1440" w:header="708" w:footer="708" w:gutter="0"/>
          <w:pgBorders w:offsetFrom="page">
            <w:top w:val="none" w:sz="0" w:space="0"/>
            <w:left w:val="none" w:sz="0" w:space="0"/>
            <w:bottom w:val="none" w:sz="0" w:space="0"/>
            <w:right w:val="none" w:sz="0" w:space="0"/>
          </w:pgBorders>
          <w:cols w:space="708" w:num="1"/>
          <w:docGrid w:linePitch="360" w:charSpace="0"/>
        </w:sectPr>
      </w:pPr>
    </w:p>
    <w:tbl>
      <w:tblPr>
        <w:tblW w:w="14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747"/>
        <w:gridCol w:w="3750"/>
        <w:gridCol w:w="3783"/>
        <w:gridCol w:w="3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3747" w:type="dxa"/>
            <w:shd w:val="clear"/>
            <w:vAlign w:val="bottom"/>
          </w:tcPr>
          <w:p>
            <w:pPr>
              <w:keepNext w:val="0"/>
              <w:keepLines w:val="0"/>
              <w:widowControl/>
              <w:suppressLineNumbers w:val="0"/>
              <w:jc w:val="both"/>
              <w:textAlignment w:val="bottom"/>
              <w:rPr>
                <w:rFonts w:hint="eastAsia" w:ascii="宋体" w:hAnsi="宋体" w:eastAsia="宋体" w:cs="宋体"/>
                <w:b/>
                <w:i w:val="0"/>
                <w:color w:val="000000"/>
                <w:sz w:val="44"/>
                <w:szCs w:val="44"/>
                <w:u w:val="none"/>
              </w:rPr>
            </w:pPr>
          </w:p>
        </w:tc>
        <w:tc>
          <w:tcPr>
            <w:tcW w:w="3750" w:type="dxa"/>
            <w:shd w:val="clear"/>
            <w:vAlign w:val="bottom"/>
          </w:tcPr>
          <w:p>
            <w:pPr>
              <w:jc w:val="both"/>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4"/>
                <w:szCs w:val="44"/>
                <w:u w:val="none"/>
                <w:lang w:val="en-US" w:eastAsia="zh-CN" w:bidi="ar"/>
              </w:rPr>
              <w:t>2019年财政拨款</w:t>
            </w:r>
          </w:p>
        </w:tc>
        <w:tc>
          <w:tcPr>
            <w:tcW w:w="3783" w:type="dxa"/>
            <w:shd w:val="clear"/>
            <w:vAlign w:val="bottom"/>
          </w:tcPr>
          <w:p>
            <w:pPr>
              <w:jc w:val="both"/>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4"/>
                <w:szCs w:val="44"/>
                <w:u w:val="none"/>
                <w:lang w:val="en-US" w:eastAsia="zh-CN" w:bidi="ar"/>
              </w:rPr>
              <w:t>预算收支情况表</w:t>
            </w:r>
          </w:p>
        </w:tc>
        <w:tc>
          <w:tcPr>
            <w:tcW w:w="3385" w:type="dxa"/>
            <w:shd w:val="clear"/>
            <w:vAlign w:val="bottom"/>
          </w:tcPr>
          <w:p>
            <w:pPr>
              <w:ind w:firstLine="1800" w:firstLineChars="600"/>
              <w:jc w:val="both"/>
              <w:rPr>
                <w:rFonts w:hint="eastAsia" w:ascii="宋体" w:hAnsi="宋体" w:eastAsia="宋体" w:cs="宋体"/>
                <w:b/>
                <w:i w:val="0"/>
                <w:color w:val="000000"/>
                <w:sz w:val="40"/>
                <w:szCs w:val="40"/>
                <w:u w:val="none"/>
                <w:lang w:val="en-US" w:eastAsia="zh-CN"/>
              </w:rPr>
            </w:pPr>
            <w:r>
              <w:rPr>
                <w:rFonts w:hint="eastAsia" w:ascii="宋体" w:hAnsi="宋体" w:eastAsia="宋体" w:cs="宋体"/>
                <w:b w:val="0"/>
                <w:bCs/>
                <w:i w:val="0"/>
                <w:color w:val="000000"/>
                <w:sz w:val="30"/>
                <w:szCs w:val="30"/>
                <w:u w:val="none"/>
                <w:lang w:eastAsia="zh-CN"/>
              </w:rPr>
              <w:t>预算</w:t>
            </w:r>
            <w:r>
              <w:rPr>
                <w:rFonts w:hint="eastAsia" w:ascii="宋体" w:hAnsi="宋体" w:eastAsia="宋体" w:cs="宋体"/>
                <w:b w:val="0"/>
                <w:bCs/>
                <w:i w:val="0"/>
                <w:color w:val="000000"/>
                <w:sz w:val="30"/>
                <w:szCs w:val="30"/>
                <w:u w:val="none"/>
                <w:lang w:val="en-US" w:eastAsia="zh-CN"/>
              </w:rPr>
              <w:t>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shd w:val="clear"/>
            <w:vAlign w:val="center"/>
          </w:tcPr>
          <w:p>
            <w:pPr>
              <w:rPr>
                <w:rFonts w:hint="eastAsia" w:ascii="宋体" w:hAnsi="宋体" w:eastAsia="宋体" w:cs="宋体"/>
                <w:i w:val="0"/>
                <w:color w:val="000000"/>
                <w:sz w:val="24"/>
                <w:szCs w:val="24"/>
                <w:u w:val="none"/>
              </w:rPr>
            </w:pPr>
          </w:p>
        </w:tc>
        <w:tc>
          <w:tcPr>
            <w:tcW w:w="3750" w:type="dxa"/>
            <w:shd w:val="clear"/>
            <w:vAlign w:val="center"/>
          </w:tcPr>
          <w:p>
            <w:pPr>
              <w:rPr>
                <w:rFonts w:hint="eastAsia" w:ascii="宋体" w:hAnsi="宋体" w:eastAsia="宋体" w:cs="宋体"/>
                <w:i w:val="0"/>
                <w:color w:val="000000"/>
                <w:sz w:val="24"/>
                <w:szCs w:val="24"/>
                <w:u w:val="none"/>
              </w:rPr>
            </w:pPr>
          </w:p>
        </w:tc>
        <w:tc>
          <w:tcPr>
            <w:tcW w:w="3783" w:type="dxa"/>
            <w:shd w:val="clear"/>
            <w:vAlign w:val="center"/>
          </w:tcPr>
          <w:p>
            <w:pPr>
              <w:rPr>
                <w:rFonts w:hint="eastAsia" w:ascii="宋体" w:hAnsi="宋体" w:eastAsia="宋体" w:cs="宋体"/>
                <w:i w:val="0"/>
                <w:color w:val="000000"/>
                <w:sz w:val="24"/>
                <w:szCs w:val="24"/>
                <w:u w:val="none"/>
              </w:rPr>
            </w:pPr>
          </w:p>
        </w:tc>
        <w:tc>
          <w:tcPr>
            <w:tcW w:w="3385"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部门名称：内乡县市场发展服务中心</w:t>
            </w:r>
          </w:p>
        </w:tc>
        <w:tc>
          <w:tcPr>
            <w:tcW w:w="3750" w:type="dxa"/>
            <w:tcBorders>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shd w:val="clear"/>
            <w:vAlign w:val="bottom"/>
          </w:tcPr>
          <w:p>
            <w:pPr>
              <w:rPr>
                <w:rFonts w:hint="eastAsia" w:ascii="宋体" w:hAnsi="宋体" w:eastAsia="宋体" w:cs="宋体"/>
                <w:i w:val="0"/>
                <w:color w:val="000000"/>
                <w:sz w:val="18"/>
                <w:szCs w:val="18"/>
                <w:u w:val="none"/>
              </w:rPr>
            </w:pPr>
          </w:p>
        </w:tc>
        <w:tc>
          <w:tcPr>
            <w:tcW w:w="3385"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49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71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7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3783"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3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378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33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378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33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w:t>
            </w:r>
          </w:p>
        </w:tc>
        <w:tc>
          <w:tcPr>
            <w:tcW w:w="3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3783"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一、基本支出</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1、行政人员经费</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2、事业人员经费</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3、公用支出</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二、项目支出</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1、一般性项目支出</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2、专项支出</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2.1、政策性配套支出</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2.2、事业发展专项支出</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2.3、其他资本性支出</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2.4、偿债支出</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2.5、其他</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50"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7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747"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3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3783"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3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 w:hRule="atLeast"/>
        </w:trPr>
        <w:tc>
          <w:tcPr>
            <w:tcW w:w="3747" w:type="dxa"/>
            <w:shd w:val="clear"/>
            <w:vAlign w:val="center"/>
          </w:tcPr>
          <w:p>
            <w:pPr>
              <w:rPr>
                <w:rFonts w:hint="eastAsia" w:ascii="宋体" w:hAnsi="宋体" w:eastAsia="宋体" w:cs="宋体"/>
                <w:i w:val="0"/>
                <w:color w:val="000000"/>
                <w:sz w:val="24"/>
                <w:szCs w:val="24"/>
                <w:u w:val="none"/>
              </w:rPr>
            </w:pPr>
          </w:p>
        </w:tc>
        <w:tc>
          <w:tcPr>
            <w:tcW w:w="3750" w:type="dxa"/>
            <w:shd w:val="clear"/>
            <w:vAlign w:val="center"/>
          </w:tcPr>
          <w:p>
            <w:pPr>
              <w:rPr>
                <w:rFonts w:hint="eastAsia" w:ascii="宋体" w:hAnsi="宋体" w:eastAsia="宋体" w:cs="宋体"/>
                <w:i w:val="0"/>
                <w:color w:val="000000"/>
                <w:sz w:val="24"/>
                <w:szCs w:val="24"/>
                <w:u w:val="none"/>
              </w:rPr>
            </w:pPr>
          </w:p>
        </w:tc>
        <w:tc>
          <w:tcPr>
            <w:tcW w:w="3783" w:type="dxa"/>
            <w:shd w:val="clear"/>
            <w:vAlign w:val="center"/>
          </w:tcPr>
          <w:p>
            <w:pPr>
              <w:rPr>
                <w:rFonts w:hint="eastAsia" w:ascii="宋体" w:hAnsi="宋体" w:eastAsia="宋体" w:cs="宋体"/>
                <w:i w:val="0"/>
                <w:color w:val="000000"/>
                <w:sz w:val="24"/>
                <w:szCs w:val="24"/>
                <w:u w:val="none"/>
              </w:rPr>
            </w:pPr>
          </w:p>
        </w:tc>
        <w:tc>
          <w:tcPr>
            <w:tcW w:w="3385" w:type="dxa"/>
            <w:shd w:val="clear"/>
            <w:vAlign w:val="center"/>
          </w:tcPr>
          <w:p>
            <w:pPr>
              <w:rPr>
                <w:rFonts w:hint="eastAsia" w:ascii="宋体" w:hAnsi="宋体" w:eastAsia="宋体" w:cs="宋体"/>
                <w:i w:val="0"/>
                <w:color w:val="000000"/>
                <w:sz w:val="24"/>
                <w:szCs w:val="24"/>
                <w:u w:val="none"/>
              </w:rPr>
            </w:pPr>
          </w:p>
        </w:tc>
      </w:tr>
    </w:tbl>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sectPr>
          <w:pgSz w:w="16838" w:h="11906" w:orient="landscape"/>
          <w:pgMar w:top="1800" w:right="1440" w:bottom="1800" w:left="1440" w:header="708" w:footer="708" w:gutter="0"/>
          <w:pgBorders w:offsetFrom="page">
            <w:top w:val="none" w:sz="0" w:space="0"/>
            <w:left w:val="none" w:sz="0" w:space="0"/>
            <w:bottom w:val="none" w:sz="0" w:space="0"/>
            <w:right w:val="none" w:sz="0" w:space="0"/>
          </w:pgBorders>
          <w:cols w:space="708" w:num="1"/>
          <w:docGrid w:linePitch="360" w:charSpace="0"/>
        </w:sectPr>
      </w:pPr>
    </w:p>
    <w:tbl>
      <w:tblPr>
        <w:tblW w:w="12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7"/>
        <w:gridCol w:w="567"/>
        <w:gridCol w:w="848"/>
        <w:gridCol w:w="1720"/>
        <w:gridCol w:w="1570"/>
        <w:gridCol w:w="1430"/>
        <w:gridCol w:w="848"/>
        <w:gridCol w:w="855"/>
        <w:gridCol w:w="851"/>
        <w:gridCol w:w="853"/>
        <w:gridCol w:w="853"/>
        <w:gridCol w:w="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2085" w:type="dxa"/>
            <w:gridSpan w:val="12"/>
            <w:tcBorders>
              <w:top w:val="single" w:color="auto" w:sz="4" w:space="0"/>
              <w:left w:val="single" w:color="auto" w:sz="4" w:space="0"/>
              <w:bottom w:val="single" w:color="auto" w:sz="4" w:space="0"/>
              <w:right w:val="single" w:color="auto" w:sz="4" w:space="0"/>
            </w:tcBorders>
            <w:shd w:val="clear"/>
            <w:vAlign w:val="center"/>
          </w:tcPr>
          <w:p>
            <w:pPr>
              <w:jc w:val="both"/>
              <w:rPr>
                <w:rFonts w:hint="eastAsia" w:ascii="宋体" w:hAnsi="宋体" w:eastAsia="宋体" w:cs="宋体"/>
                <w:b/>
                <w:i w:val="0"/>
                <w:color w:val="000000"/>
                <w:sz w:val="40"/>
                <w:szCs w:val="40"/>
                <w:u w:val="none"/>
                <w:lang w:val="en-US"/>
              </w:rPr>
            </w:pPr>
            <w:r>
              <w:rPr>
                <w:rFonts w:hint="eastAsia" w:ascii="宋体" w:hAnsi="宋体" w:eastAsia="宋体" w:cs="宋体"/>
                <w:b/>
                <w:i w:val="0"/>
                <w:color w:val="000000"/>
                <w:kern w:val="0"/>
                <w:sz w:val="40"/>
                <w:szCs w:val="40"/>
                <w:u w:val="none"/>
                <w:lang w:val="en-US" w:eastAsia="zh-CN" w:bidi="ar"/>
              </w:rPr>
              <w:t xml:space="preserve">2019年一般公共预算支出情况表(按功能分类)           </w:t>
            </w:r>
            <w:r>
              <w:rPr>
                <w:rFonts w:hint="eastAsia" w:ascii="宋体" w:hAnsi="宋体" w:eastAsia="宋体" w:cs="宋体"/>
                <w:b w:val="0"/>
                <w:bCs/>
                <w:i w:val="0"/>
                <w:color w:val="000000"/>
                <w:kern w:val="0"/>
                <w:sz w:val="30"/>
                <w:szCs w:val="30"/>
                <w:u w:val="none"/>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7" w:type="dxa"/>
            <w:tcBorders>
              <w:top w:val="single" w:color="auto"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部门名称:内乡县市场发展服务中心</w:t>
            </w:r>
          </w:p>
        </w:tc>
        <w:tc>
          <w:tcPr>
            <w:tcW w:w="567" w:type="dxa"/>
            <w:tcBorders>
              <w:top w:val="single" w:color="auto" w:sz="4" w:space="0"/>
              <w:bottom w:val="single" w:color="000000" w:sz="4" w:space="0"/>
            </w:tcBorders>
            <w:shd w:val="clear"/>
            <w:vAlign w:val="center"/>
          </w:tcPr>
          <w:p>
            <w:pPr>
              <w:jc w:val="left"/>
              <w:rPr>
                <w:rFonts w:hint="eastAsia" w:ascii="宋体" w:hAnsi="宋体" w:eastAsia="宋体" w:cs="宋体"/>
                <w:i w:val="0"/>
                <w:color w:val="000000"/>
                <w:sz w:val="18"/>
                <w:szCs w:val="18"/>
                <w:u w:val="none"/>
              </w:rPr>
            </w:pPr>
          </w:p>
        </w:tc>
        <w:tc>
          <w:tcPr>
            <w:tcW w:w="848" w:type="dxa"/>
            <w:tcBorders>
              <w:top w:val="single" w:color="auto" w:sz="4" w:space="0"/>
              <w:bottom w:val="single" w:color="000000" w:sz="4" w:space="0"/>
            </w:tcBorders>
            <w:shd w:val="clear"/>
            <w:vAlign w:val="center"/>
          </w:tcPr>
          <w:p>
            <w:pPr>
              <w:jc w:val="left"/>
              <w:rPr>
                <w:rFonts w:hint="eastAsia" w:ascii="宋体" w:hAnsi="宋体" w:eastAsia="宋体" w:cs="宋体"/>
                <w:i w:val="0"/>
                <w:color w:val="000000"/>
                <w:sz w:val="18"/>
                <w:szCs w:val="18"/>
                <w:u w:val="none"/>
              </w:rPr>
            </w:pPr>
          </w:p>
        </w:tc>
        <w:tc>
          <w:tcPr>
            <w:tcW w:w="1720" w:type="dxa"/>
            <w:tcBorders>
              <w:top w:val="single" w:color="auto" w:sz="4" w:space="0"/>
              <w:bottom w:val="single" w:color="000000" w:sz="4" w:space="0"/>
            </w:tcBorders>
            <w:shd w:val="clear"/>
            <w:vAlign w:val="center"/>
          </w:tcPr>
          <w:p>
            <w:pPr>
              <w:jc w:val="left"/>
              <w:rPr>
                <w:rFonts w:hint="eastAsia" w:ascii="宋体" w:hAnsi="宋体" w:eastAsia="宋体" w:cs="宋体"/>
                <w:i w:val="0"/>
                <w:color w:val="000000"/>
                <w:sz w:val="18"/>
                <w:szCs w:val="18"/>
                <w:u w:val="none"/>
              </w:rPr>
            </w:pPr>
          </w:p>
        </w:tc>
        <w:tc>
          <w:tcPr>
            <w:tcW w:w="1570" w:type="dxa"/>
            <w:tcBorders>
              <w:top w:val="single" w:color="auto" w:sz="4" w:space="0"/>
            </w:tcBorders>
            <w:shd w:val="clear"/>
            <w:vAlign w:val="center"/>
          </w:tcPr>
          <w:p>
            <w:pPr>
              <w:jc w:val="left"/>
              <w:rPr>
                <w:rFonts w:hint="eastAsia" w:ascii="宋体" w:hAnsi="宋体" w:eastAsia="宋体" w:cs="宋体"/>
                <w:i w:val="0"/>
                <w:color w:val="000000"/>
                <w:sz w:val="18"/>
                <w:szCs w:val="18"/>
                <w:u w:val="none"/>
              </w:rPr>
            </w:pPr>
          </w:p>
        </w:tc>
        <w:tc>
          <w:tcPr>
            <w:tcW w:w="1430" w:type="dxa"/>
            <w:tcBorders>
              <w:top w:val="single" w:color="auto"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848" w:type="dxa"/>
            <w:tcBorders>
              <w:top w:val="single" w:color="auto"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855" w:type="dxa"/>
            <w:tcBorders>
              <w:top w:val="single" w:color="auto"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851" w:type="dxa"/>
            <w:tcBorders>
              <w:top w:val="single" w:color="auto"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853" w:type="dxa"/>
            <w:tcBorders>
              <w:top w:val="single" w:color="auto"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853" w:type="dxa"/>
            <w:tcBorders>
              <w:top w:val="single" w:color="auto" w:sz="4" w:space="0"/>
              <w:bottom w:val="single" w:color="000000" w:sz="4" w:space="0"/>
            </w:tcBorders>
            <w:shd w:val="clear"/>
            <w:vAlign w:val="center"/>
          </w:tcPr>
          <w:p>
            <w:pPr>
              <w:rPr>
                <w:rFonts w:hint="eastAsia" w:ascii="宋体" w:hAnsi="宋体" w:eastAsia="宋体" w:cs="宋体"/>
                <w:i w:val="0"/>
                <w:color w:val="000000"/>
                <w:sz w:val="18"/>
                <w:szCs w:val="18"/>
                <w:u w:val="none"/>
              </w:rPr>
            </w:pPr>
          </w:p>
        </w:tc>
        <w:tc>
          <w:tcPr>
            <w:tcW w:w="853" w:type="dxa"/>
            <w:tcBorders>
              <w:top w:val="single" w:color="auto" w:sz="4" w:space="0"/>
            </w:tcBorders>
            <w:shd w:val="cle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7"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56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17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单位（科目名称）</w:t>
            </w:r>
          </w:p>
        </w:tc>
        <w:tc>
          <w:tcPr>
            <w:tcW w:w="15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430" w:type="dxa"/>
            <w:tcBorders>
              <w:top w:val="single" w:color="000000" w:sz="4" w:space="0"/>
              <w:bottom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848" w:type="dxa"/>
            <w:tcBorders>
              <w:top w:val="single" w:color="000000" w:sz="4" w:space="0"/>
              <w:bottom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55" w:type="dxa"/>
            <w:tcBorders>
              <w:top w:val="single" w:color="000000" w:sz="4" w:space="0"/>
              <w:bottom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51" w:type="dxa"/>
            <w:tcBorders>
              <w:top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5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853" w:type="dxa"/>
            <w:tcBorders>
              <w:top w:val="single" w:color="000000" w:sz="4" w:space="0"/>
              <w:bottom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53" w:type="dxa"/>
            <w:tcBorders>
              <w:top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8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4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8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行政人员经费</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事业人员经费</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一般性项目</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7"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67"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8"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0"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3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48"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55"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5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7"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48"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72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445.3 </w:t>
            </w:r>
          </w:p>
        </w:tc>
        <w:tc>
          <w:tcPr>
            <w:tcW w:w="14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848" w:type="dxa"/>
            <w:tcBorders>
              <w:top w:val="single" w:color="000000" w:sz="4" w:space="0"/>
              <w:bottom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432.0 </w:t>
            </w:r>
          </w:p>
        </w:tc>
        <w:tc>
          <w:tcPr>
            <w:tcW w:w="85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7"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48"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72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内乡县市场发展服务中心机关</w:t>
            </w:r>
          </w:p>
        </w:tc>
        <w:tc>
          <w:tcPr>
            <w:tcW w:w="1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445.3 </w:t>
            </w:r>
          </w:p>
        </w:tc>
        <w:tc>
          <w:tcPr>
            <w:tcW w:w="14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848" w:type="dxa"/>
            <w:tcBorders>
              <w:top w:val="single" w:color="000000" w:sz="4" w:space="0"/>
              <w:bottom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432.0 </w:t>
            </w:r>
          </w:p>
        </w:tc>
        <w:tc>
          <w:tcPr>
            <w:tcW w:w="85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7"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567"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84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72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其他一般公共服务支出</w:t>
            </w:r>
          </w:p>
        </w:tc>
        <w:tc>
          <w:tcPr>
            <w:tcW w:w="1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445.3 </w:t>
            </w:r>
          </w:p>
        </w:tc>
        <w:tc>
          <w:tcPr>
            <w:tcW w:w="14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848" w:type="dxa"/>
            <w:tcBorders>
              <w:top w:val="single" w:color="000000" w:sz="4" w:space="0"/>
              <w:bottom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432.0 </w:t>
            </w:r>
          </w:p>
        </w:tc>
        <w:tc>
          <w:tcPr>
            <w:tcW w:w="85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bl>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sectPr>
          <w:pgSz w:w="16838" w:h="11906" w:orient="landscape"/>
          <w:pgMar w:top="1800" w:right="1440" w:bottom="1800" w:left="1440" w:header="708" w:footer="708" w:gutter="0"/>
          <w:pgBorders w:offsetFrom="page">
            <w:top w:val="none" w:sz="0" w:space="0"/>
            <w:left w:val="none" w:sz="0" w:space="0"/>
            <w:bottom w:val="none" w:sz="0" w:space="0"/>
            <w:right w:val="none" w:sz="0" w:space="0"/>
          </w:pgBorders>
          <w:cols w:space="708" w:num="1"/>
          <w:docGrid w:linePitch="360" w:charSpace="0"/>
        </w:sectPr>
      </w:pPr>
    </w:p>
    <w:tbl>
      <w:tblPr>
        <w:tblW w:w="150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0"/>
        <w:gridCol w:w="1044"/>
        <w:gridCol w:w="1440"/>
        <w:gridCol w:w="3011"/>
        <w:gridCol w:w="1416"/>
        <w:gridCol w:w="1212"/>
        <w:gridCol w:w="1452"/>
        <w:gridCol w:w="1212"/>
        <w:gridCol w:w="816"/>
        <w:gridCol w:w="816"/>
        <w:gridCol w:w="816"/>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5013" w:type="dxa"/>
            <w:gridSpan w:val="12"/>
            <w:shd w:val="clear"/>
            <w:vAlign w:val="center"/>
          </w:tcPr>
          <w:p>
            <w:pPr>
              <w:jc w:val="both"/>
              <w:rPr>
                <w:rFonts w:hint="eastAsia" w:ascii="宋体" w:hAnsi="宋体" w:eastAsia="宋体" w:cs="宋体"/>
                <w:b/>
                <w:i w:val="0"/>
                <w:color w:val="000000"/>
                <w:sz w:val="40"/>
                <w:szCs w:val="40"/>
                <w:u w:val="none"/>
                <w:lang w:val="en-US"/>
              </w:rPr>
            </w:pPr>
            <w:r>
              <w:rPr>
                <w:rFonts w:hint="eastAsia" w:ascii="宋体" w:hAnsi="宋体" w:eastAsia="宋体" w:cs="宋体"/>
                <w:b/>
                <w:i w:val="0"/>
                <w:color w:val="000000"/>
                <w:kern w:val="0"/>
                <w:sz w:val="40"/>
                <w:szCs w:val="40"/>
                <w:u w:val="none"/>
                <w:lang w:val="en-US" w:eastAsia="zh-CN" w:bidi="ar"/>
              </w:rPr>
              <w:t xml:space="preserve">2019年一般公共预算基本支出情况表（按经济分类)                    </w:t>
            </w:r>
            <w:r>
              <w:rPr>
                <w:rFonts w:hint="eastAsia" w:ascii="宋体" w:hAnsi="宋体" w:eastAsia="宋体" w:cs="宋体"/>
                <w:b w:val="0"/>
                <w:bCs/>
                <w:i w:val="0"/>
                <w:color w:val="000000"/>
                <w:kern w:val="0"/>
                <w:sz w:val="30"/>
                <w:szCs w:val="30"/>
                <w:u w:val="none"/>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5013" w:type="dxa"/>
            <w:gridSpan w:val="12"/>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部门名称:内乡县市场发展服务中心</w:t>
            </w:r>
          </w:p>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4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部门预算经济分类</w:t>
            </w:r>
          </w:p>
        </w:tc>
        <w:tc>
          <w:tcPr>
            <w:tcW w:w="301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4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10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14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3011"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2664" w:type="dxa"/>
            <w:gridSpan w:val="2"/>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w:t>
            </w:r>
          </w:p>
        </w:tc>
        <w:tc>
          <w:tcPr>
            <w:tcW w:w="12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w:t>
            </w:r>
          </w:p>
        </w:tc>
        <w:tc>
          <w:tcPr>
            <w:tcW w:w="8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专户安排</w:t>
            </w:r>
          </w:p>
        </w:tc>
        <w:tc>
          <w:tcPr>
            <w:tcW w:w="8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本级财力补助下级支出</w:t>
            </w:r>
          </w:p>
        </w:tc>
        <w:tc>
          <w:tcPr>
            <w:tcW w:w="8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部门财政性资金结转</w:t>
            </w:r>
          </w:p>
        </w:tc>
        <w:tc>
          <w:tcPr>
            <w:tcW w:w="81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提前下达转移支付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3011"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12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8"/>
                <w:szCs w:val="18"/>
                <w:u w:val="none"/>
              </w:rPr>
            </w:pP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8"/>
                <w:szCs w:val="18"/>
                <w:u w:val="none"/>
              </w:rPr>
            </w:pP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内乡县市场发展服务中心机关</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433.3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差供人员补助及涉军人员工资</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224.8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224.8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224.8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在职人员经费（事业）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11.6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11.6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11.6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物业补助（事业）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0.7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0.7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0.7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在职人员经费（事业）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文明奖（事业）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0.4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0.4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0.4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目标考核奖（事业）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奖励性绩效工资</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养老保险（事业）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职工基本医疗保险缴费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医疗保险（事业）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工伤保险（事业）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女工生育保险（事业）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失业保险（事业）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其他工资福利支出</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差供人员补助及涉军人员工资</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164.6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164.6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164.6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其他公用经费</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0.7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0.7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0.7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0.6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0.6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0.6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0.4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0.4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0.4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退休人员健康休养费（事业）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退休人员精神文明奖（事业）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物业补助（事业）</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生活补助</w:t>
            </w:r>
          </w:p>
        </w:tc>
        <w:tc>
          <w:tcPr>
            <w:tcW w:w="30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遗属补助</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 </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 </w:t>
            </w:r>
          </w:p>
        </w:tc>
        <w:tc>
          <w:tcPr>
            <w:tcW w:w="121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bl>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sectPr>
          <w:pgSz w:w="16838" w:h="11906" w:orient="landscape"/>
          <w:pgMar w:top="1800" w:right="1440" w:bottom="1800" w:left="1440" w:header="708" w:footer="708" w:gutter="0"/>
          <w:pgBorders w:offsetFrom="page">
            <w:top w:val="none" w:sz="0" w:space="0"/>
            <w:left w:val="none" w:sz="0" w:space="0"/>
            <w:bottom w:val="none" w:sz="0" w:space="0"/>
            <w:right w:val="none" w:sz="0" w:space="0"/>
          </w:pgBorders>
          <w:cols w:space="708" w:num="1"/>
          <w:docGrid w:linePitch="360" w:charSpace="0"/>
        </w:sectPr>
      </w:pPr>
    </w:p>
    <w:tbl>
      <w:tblPr>
        <w:tblW w:w="140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27"/>
        <w:gridCol w:w="550"/>
        <w:gridCol w:w="817"/>
        <w:gridCol w:w="739"/>
        <w:gridCol w:w="1655"/>
        <w:gridCol w:w="1430"/>
        <w:gridCol w:w="1219"/>
        <w:gridCol w:w="456"/>
        <w:gridCol w:w="361"/>
        <w:gridCol w:w="817"/>
        <w:gridCol w:w="817"/>
        <w:gridCol w:w="817"/>
        <w:gridCol w:w="817"/>
        <w:gridCol w:w="733"/>
        <w:gridCol w:w="2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2197" w:type="dxa"/>
          <w:trHeight w:val="420" w:hRule="atLeast"/>
        </w:trPr>
        <w:tc>
          <w:tcPr>
            <w:tcW w:w="11855" w:type="dxa"/>
            <w:gridSpan w:val="14"/>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本部门无政府性基金预算支出</w:t>
            </w:r>
          </w:p>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600" w:hRule="atLeast"/>
        </w:trPr>
        <w:tc>
          <w:tcPr>
            <w:tcW w:w="11855" w:type="dxa"/>
            <w:gridSpan w:val="14"/>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2019年政府性基金支出情况表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73" w:hRule="atLeast"/>
        </w:trPr>
        <w:tc>
          <w:tcPr>
            <w:tcW w:w="11855" w:type="dxa"/>
            <w:gridSpan w:val="14"/>
            <w:tcBorders>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内乡县市场发展服务中心</w:t>
            </w:r>
          </w:p>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20" w:hRule="atLeast"/>
        </w:trPr>
        <w:tc>
          <w:tcPr>
            <w:tcW w:w="627"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单位代码</w:t>
            </w:r>
          </w:p>
        </w:tc>
        <w:tc>
          <w:tcPr>
            <w:tcW w:w="16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单位（科目名称）</w:t>
            </w:r>
          </w:p>
        </w:tc>
        <w:tc>
          <w:tcPr>
            <w:tcW w:w="14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219" w:type="dxa"/>
            <w:tcBorders>
              <w:top w:val="single" w:color="000000" w:sz="4" w:space="0"/>
              <w:bottom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817" w:type="dxa"/>
            <w:gridSpan w:val="2"/>
            <w:tcBorders>
              <w:top w:val="single" w:color="000000" w:sz="4" w:space="0"/>
              <w:bottom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17" w:type="dxa"/>
            <w:tcBorders>
              <w:top w:val="single" w:color="000000" w:sz="4" w:space="0"/>
              <w:bottom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17" w:type="dxa"/>
            <w:tcBorders>
              <w:top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817" w:type="dxa"/>
            <w:tcBorders>
              <w:top w:val="single" w:color="000000" w:sz="4" w:space="0"/>
              <w:bottom w:val="single" w:color="000000" w:sz="4" w:space="0"/>
            </w:tcBorders>
            <w:shd w:val="clear"/>
            <w:vAlign w:val="center"/>
          </w:tcPr>
          <w:p>
            <w:pPr>
              <w:jc w:val="both"/>
              <w:rPr>
                <w:rFonts w:hint="eastAsia" w:ascii="宋体" w:hAnsi="宋体" w:eastAsia="宋体" w:cs="宋体"/>
                <w:i w:val="0"/>
                <w:color w:val="000000"/>
                <w:sz w:val="18"/>
                <w:szCs w:val="18"/>
                <w:u w:val="none"/>
              </w:rPr>
            </w:pPr>
          </w:p>
        </w:tc>
        <w:tc>
          <w:tcPr>
            <w:tcW w:w="733" w:type="dxa"/>
            <w:tcBorders>
              <w:top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20" w:hRule="atLeast"/>
        </w:trPr>
        <w:tc>
          <w:tcPr>
            <w:tcW w:w="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7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4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219"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81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行政人员经费</w:t>
            </w: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事业人员经费</w:t>
            </w: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一般性项目</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20" w:hRule="atLeast"/>
        </w:trPr>
        <w:tc>
          <w:tcPr>
            <w:tcW w:w="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1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20" w:hRule="atLeast"/>
        </w:trPr>
        <w:tc>
          <w:tcPr>
            <w:tcW w:w="6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20" w:hRule="atLeast"/>
        </w:trPr>
        <w:tc>
          <w:tcPr>
            <w:tcW w:w="6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20" w:hRule="atLeast"/>
        </w:trPr>
        <w:tc>
          <w:tcPr>
            <w:tcW w:w="6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20" w:hRule="atLeast"/>
        </w:trPr>
        <w:tc>
          <w:tcPr>
            <w:tcW w:w="6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20" w:hRule="atLeast"/>
        </w:trPr>
        <w:tc>
          <w:tcPr>
            <w:tcW w:w="6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20" w:hRule="atLeast"/>
        </w:trPr>
        <w:tc>
          <w:tcPr>
            <w:tcW w:w="6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20" w:hRule="atLeast"/>
        </w:trPr>
        <w:tc>
          <w:tcPr>
            <w:tcW w:w="6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97" w:type="dxa"/>
          <w:trHeight w:val="420" w:hRule="atLeast"/>
        </w:trPr>
        <w:tc>
          <w:tcPr>
            <w:tcW w:w="6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 w:hRule="atLeast"/>
        </w:trPr>
        <w:tc>
          <w:tcPr>
            <w:tcW w:w="7493" w:type="dxa"/>
            <w:gridSpan w:val="8"/>
            <w:shd w:val="clear"/>
            <w:vAlign w:val="center"/>
          </w:tcPr>
          <w:p>
            <w:pPr>
              <w:rPr>
                <w:rFonts w:hint="eastAsia" w:ascii="宋体" w:hAnsi="宋体" w:eastAsia="宋体" w:cs="宋体"/>
                <w:i w:val="0"/>
                <w:color w:val="000000"/>
                <w:sz w:val="24"/>
                <w:szCs w:val="24"/>
                <w:u w:val="none"/>
              </w:rPr>
            </w:pPr>
          </w:p>
        </w:tc>
        <w:tc>
          <w:tcPr>
            <w:tcW w:w="6559" w:type="dxa"/>
            <w:gridSpan w:val="7"/>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4052" w:type="dxa"/>
            <w:gridSpan w:val="15"/>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2019年一般公共预算“三公”经费支出情况表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7493" w:type="dxa"/>
            <w:gridSpan w:val="8"/>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部门名称:内乡县市场发展服务中心</w:t>
            </w:r>
          </w:p>
        </w:tc>
        <w:tc>
          <w:tcPr>
            <w:tcW w:w="6559" w:type="dxa"/>
            <w:gridSpan w:val="7"/>
            <w:shd w:val="cle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49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      目</w:t>
            </w:r>
          </w:p>
        </w:tc>
        <w:tc>
          <w:tcPr>
            <w:tcW w:w="6559"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2019年“三公”经费预算数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49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共计</w:t>
            </w:r>
          </w:p>
        </w:tc>
        <w:tc>
          <w:tcPr>
            <w:tcW w:w="6559" w:type="dxa"/>
            <w:gridSpan w:val="7"/>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49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1、因公出国（境）费用</w:t>
            </w:r>
          </w:p>
        </w:tc>
        <w:tc>
          <w:tcPr>
            <w:tcW w:w="6559" w:type="dxa"/>
            <w:gridSpan w:val="7"/>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49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2、公务接待费</w:t>
            </w:r>
          </w:p>
        </w:tc>
        <w:tc>
          <w:tcPr>
            <w:tcW w:w="6559" w:type="dxa"/>
            <w:gridSpan w:val="7"/>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49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3、公务用车费</w:t>
            </w:r>
          </w:p>
        </w:tc>
        <w:tc>
          <w:tcPr>
            <w:tcW w:w="6559" w:type="dxa"/>
            <w:gridSpan w:val="7"/>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49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其中：（1）公务用车运行维护费</w:t>
            </w:r>
          </w:p>
        </w:tc>
        <w:tc>
          <w:tcPr>
            <w:tcW w:w="6559" w:type="dxa"/>
            <w:gridSpan w:val="7"/>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49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（2）公务用车购置</w:t>
            </w:r>
          </w:p>
        </w:tc>
        <w:tc>
          <w:tcPr>
            <w:tcW w:w="6559" w:type="dxa"/>
            <w:gridSpan w:val="7"/>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493" w:type="dxa"/>
            <w:gridSpan w:val="8"/>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c>
          <w:tcPr>
            <w:tcW w:w="6559" w:type="dxa"/>
            <w:gridSpan w:val="7"/>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3" w:hRule="atLeast"/>
        </w:trPr>
        <w:tc>
          <w:tcPr>
            <w:tcW w:w="14052" w:type="dxa"/>
            <w:gridSpan w:val="15"/>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pPr>
        <w:keepNext w:val="0"/>
        <w:keepLines w:val="0"/>
        <w:pageBreakBefore w:val="0"/>
        <w:widowControl/>
        <w:kinsoku/>
        <w:wordWrap/>
        <w:overflowPunct/>
        <w:topLinePunct w:val="0"/>
        <w:autoSpaceDE/>
        <w:autoSpaceDN/>
        <w:bidi w:val="0"/>
        <w:spacing w:line="560" w:lineRule="exact"/>
        <w:jc w:val="center"/>
        <w:textAlignment w:val="auto"/>
        <w:rPr>
          <w:rFonts w:hint="default" w:ascii="宋体" w:hAnsi="宋体" w:eastAsia="宋体" w:cs="宋体"/>
          <w:b/>
          <w:bCs/>
          <w:color w:val="333333"/>
          <w:sz w:val="32"/>
          <w:szCs w:val="32"/>
          <w:lang w:val="en-US" w:eastAsia="zh-CN"/>
        </w:rPr>
      </w:pPr>
    </w:p>
    <w:sectPr>
      <w:pgSz w:w="16838" w:h="11906" w:orient="landscape"/>
      <w:pgMar w:top="1800" w:right="1440" w:bottom="1800" w:left="1440" w:header="708" w:footer="708" w:gutter="0"/>
      <w:pgBorders w:offsetFrom="page">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E53D0"/>
    <w:multiLevelType w:val="singleLevel"/>
    <w:tmpl w:val="AB7E53D0"/>
    <w:lvl w:ilvl="0" w:tentative="0">
      <w:start w:val="1"/>
      <w:numFmt w:val="chineseCounting"/>
      <w:suff w:val="nothing"/>
      <w:lvlText w:val="%1、"/>
      <w:lvlJc w:val="left"/>
      <w:rPr>
        <w:rFonts w:hint="eastAsia"/>
      </w:rPr>
    </w:lvl>
  </w:abstractNum>
  <w:abstractNum w:abstractNumId="1">
    <w:nsid w:val="22A52707"/>
    <w:multiLevelType w:val="singleLevel"/>
    <w:tmpl w:val="22A52707"/>
    <w:lvl w:ilvl="0" w:tentative="0">
      <w:start w:val="1"/>
      <w:numFmt w:val="chineseCounting"/>
      <w:suff w:val="nothing"/>
      <w:lvlText w:val="（%1）"/>
      <w:lvlJc w:val="left"/>
      <w:rPr>
        <w:rFonts w:hint="eastAsia"/>
      </w:rPr>
    </w:lvl>
  </w:abstractNum>
  <w:abstractNum w:abstractNumId="2">
    <w:nsid w:val="2FF16237"/>
    <w:multiLevelType w:val="singleLevel"/>
    <w:tmpl w:val="2FF16237"/>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1F49E8"/>
    <w:rsid w:val="00323B43"/>
    <w:rsid w:val="003412B4"/>
    <w:rsid w:val="003D37D8"/>
    <w:rsid w:val="00426133"/>
    <w:rsid w:val="004358AB"/>
    <w:rsid w:val="008B7726"/>
    <w:rsid w:val="00D31D50"/>
    <w:rsid w:val="04C71F08"/>
    <w:rsid w:val="08700DB2"/>
    <w:rsid w:val="0B2D3AAA"/>
    <w:rsid w:val="130A5A8E"/>
    <w:rsid w:val="1C757527"/>
    <w:rsid w:val="1C840365"/>
    <w:rsid w:val="1E187175"/>
    <w:rsid w:val="262F2A9A"/>
    <w:rsid w:val="275806E9"/>
    <w:rsid w:val="284A3821"/>
    <w:rsid w:val="2A133B3D"/>
    <w:rsid w:val="2D544153"/>
    <w:rsid w:val="2D805A1F"/>
    <w:rsid w:val="2E004F9D"/>
    <w:rsid w:val="2F3E7A8B"/>
    <w:rsid w:val="36755CC9"/>
    <w:rsid w:val="38825C0D"/>
    <w:rsid w:val="41730B74"/>
    <w:rsid w:val="42262429"/>
    <w:rsid w:val="47063DED"/>
    <w:rsid w:val="480A6E06"/>
    <w:rsid w:val="5A056D22"/>
    <w:rsid w:val="5B422B62"/>
    <w:rsid w:val="5D1F18DD"/>
    <w:rsid w:val="5DE461B4"/>
    <w:rsid w:val="5FB41798"/>
    <w:rsid w:val="632065E2"/>
    <w:rsid w:val="64140D9B"/>
    <w:rsid w:val="65632B7A"/>
    <w:rsid w:val="66157C44"/>
    <w:rsid w:val="69E406A6"/>
    <w:rsid w:val="6A081829"/>
    <w:rsid w:val="6B4E5E30"/>
    <w:rsid w:val="6C1A24FD"/>
    <w:rsid w:val="6C490E90"/>
    <w:rsid w:val="6D2674BC"/>
    <w:rsid w:val="6F84405F"/>
    <w:rsid w:val="70395651"/>
    <w:rsid w:val="71FE312C"/>
    <w:rsid w:val="73120C08"/>
    <w:rsid w:val="733078E5"/>
    <w:rsid w:val="748934C0"/>
    <w:rsid w:val="7BA83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6"/>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character" w:customStyle="1" w:styleId="6">
    <w:name w:val="标题 1 Char"/>
    <w:basedOn w:val="3"/>
    <w:link w:val="2"/>
    <w:qFormat/>
    <w:uiPriority w:val="9"/>
    <w:rPr>
      <w:rFonts w:ascii="宋体" w:hAnsi="宋体" w:eastAsia="宋体" w:cs="宋体"/>
      <w:b/>
      <w:bCs/>
      <w:kern w:val="36"/>
      <w:sz w:val="48"/>
      <w:szCs w:val="48"/>
    </w:rPr>
  </w:style>
  <w:style w:type="paragraph" w:customStyle="1" w:styleId="7">
    <w:name w:val="detailtxt"/>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8">
    <w:name w:val="p"/>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450</Words>
  <Characters>2570</Characters>
  <Lines>21</Lines>
  <Paragraphs>6</Paragraphs>
  <TotalTime>4</TotalTime>
  <ScaleCrop>false</ScaleCrop>
  <LinksUpToDate>false</LinksUpToDate>
  <CharactersWithSpaces>3014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英子</cp:lastModifiedBy>
  <dcterms:modified xsi:type="dcterms:W3CDTF">2021-06-07T03:08:18Z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037D3481CFF44E60A3480C7DA5DEE836</vt:lpwstr>
  </property>
</Properties>
</file>