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sz w:val="36"/>
          <w:szCs w:val="36"/>
        </w:rPr>
      </w:pPr>
      <w:r>
        <w:rPr>
          <w:rFonts w:hint="eastAsia"/>
          <w:b/>
          <w:bCs/>
          <w:sz w:val="36"/>
          <w:szCs w:val="36"/>
        </w:rPr>
        <w:t>内乡县文化广电和旅游局202</w:t>
      </w:r>
      <w:r>
        <w:rPr>
          <w:rFonts w:hint="eastAsia"/>
          <w:b/>
          <w:bCs/>
          <w:sz w:val="36"/>
          <w:szCs w:val="36"/>
          <w:lang w:val="en-US" w:eastAsia="zh-CN"/>
        </w:rPr>
        <w:t>1</w:t>
      </w:r>
      <w:r>
        <w:rPr>
          <w:rFonts w:hint="eastAsia"/>
          <w:b/>
          <w:bCs/>
          <w:sz w:val="36"/>
          <w:szCs w:val="36"/>
        </w:rPr>
        <w:t>年预算公开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firstLine="3476" w:firstLineChars="1100"/>
        <w:textAlignment w:val="auto"/>
        <w:rPr>
          <w:rFonts w:hint="eastAsia"/>
          <w:b/>
          <w:bCs/>
        </w:rPr>
      </w:pPr>
      <w:r>
        <w:rPr>
          <w:rFonts w:hint="eastAsia"/>
          <w:b/>
          <w:bCs/>
        </w:rPr>
        <w:t xml:space="preserve"> 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rPr>
      </w:pPr>
      <w:r>
        <w:rPr>
          <w:rFonts w:hint="eastAsia"/>
          <w:b/>
          <w:bCs/>
        </w:rPr>
        <w:t>第一部分 内乡县文化广电和旅游局概况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264" w:firstLineChars="400"/>
        <w:textAlignment w:val="auto"/>
        <w:rPr>
          <w:rFonts w:hint="eastAsia"/>
        </w:rPr>
      </w:pPr>
      <w:r>
        <w:rPr>
          <w:rFonts w:hint="eastAsia"/>
        </w:rPr>
        <w:t>一、主要职能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264" w:firstLineChars="400"/>
        <w:textAlignment w:val="auto"/>
        <w:rPr>
          <w:rFonts w:hint="eastAsia"/>
        </w:rPr>
      </w:pPr>
      <w:r>
        <w:rPr>
          <w:rFonts w:hint="eastAsia"/>
        </w:rPr>
        <w:t>二、机构设置及部门预算单位构成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b/>
          <w:bCs/>
        </w:rPr>
      </w:pPr>
      <w:r>
        <w:rPr>
          <w:rFonts w:hint="eastAsia"/>
          <w:b/>
          <w:bCs/>
        </w:rPr>
        <w:t>第二部分   内乡县文化广电和旅游局202</w:t>
      </w:r>
      <w:r>
        <w:rPr>
          <w:rFonts w:hint="eastAsia"/>
          <w:b/>
          <w:bCs/>
          <w:lang w:val="en-US" w:eastAsia="zh-CN"/>
        </w:rPr>
        <w:t>1</w:t>
      </w:r>
      <w:r>
        <w:rPr>
          <w:rFonts w:hint="eastAsia"/>
          <w:b/>
          <w:bCs/>
        </w:rPr>
        <w:t>年度部门预算情况说明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b/>
          <w:bCs/>
        </w:rPr>
      </w:pPr>
      <w:r>
        <w:rPr>
          <w:rFonts w:hint="eastAsia"/>
          <w:b/>
          <w:bCs/>
        </w:rPr>
        <w:t>第三部分 名词解释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b/>
          <w:bCs/>
        </w:rPr>
        <w:t>附件： 内乡县文化广电和旅游局202</w:t>
      </w:r>
      <w:r>
        <w:rPr>
          <w:rFonts w:hint="eastAsia"/>
          <w:b/>
          <w:bCs/>
          <w:lang w:val="en-US" w:eastAsia="zh-CN"/>
        </w:rPr>
        <w:t>1</w:t>
      </w:r>
      <w:r>
        <w:rPr>
          <w:rFonts w:hint="eastAsia"/>
          <w:b/>
          <w:bCs/>
        </w:rPr>
        <w:t>年部门预算表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一、部门收支总体情况表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二、部门收入总体情况表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三、部门支出总体情况表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四、财政拨款收支总体情况表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五、一般公共预算支出情况表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六、一般公共预算基本支出情况表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七、政府性基金预算支出情况表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八、国有资本经营支出情况表</w:t>
      </w:r>
    </w:p>
    <w:p>
      <w:pPr>
        <w:widowControl/>
        <w:shd w:val="clear" w:color="auto" w:fill="FFFFFF"/>
        <w:spacing w:line="450" w:lineRule="atLeast"/>
        <w:ind w:right="51" w:firstLine="96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eastAsia="zh-CN"/>
        </w:rPr>
        <w:t>九</w:t>
      </w:r>
      <w:r>
        <w:rPr>
          <w:rFonts w:hint="eastAsia" w:ascii="仿宋" w:hAnsi="仿宋" w:eastAsia="仿宋" w:cs="仿宋"/>
          <w:color w:val="333333"/>
          <w:kern w:val="0"/>
          <w:sz w:val="32"/>
          <w:szCs w:val="32"/>
        </w:rPr>
        <w:t>、一般公共预算“三公”经费支出情况表</w:t>
      </w:r>
    </w:p>
    <w:p>
      <w:pPr>
        <w:widowControl/>
        <w:shd w:val="clear" w:color="auto" w:fill="FFFFFF"/>
        <w:spacing w:line="580" w:lineRule="atLeast"/>
        <w:ind w:firstLine="160"/>
        <w:rPr>
          <w:rFonts w:hint="eastAsia" w:ascii="仿宋" w:hAnsi="仿宋" w:eastAsia="仿宋" w:cs="仿宋"/>
          <w:b w:val="0"/>
          <w:bCs w:val="0"/>
          <w:color w:val="333333"/>
          <w:kern w:val="0"/>
          <w:sz w:val="32"/>
          <w:szCs w:val="32"/>
          <w:lang w:val="en-US" w:eastAsia="zh-CN"/>
        </w:rPr>
      </w:pPr>
      <w:r>
        <w:rPr>
          <w:rFonts w:hint="eastAsia" w:ascii="仿宋" w:hAnsi="仿宋" w:eastAsia="仿宋" w:cs="仿宋"/>
          <w:b/>
          <w:bCs/>
          <w:color w:val="333333"/>
          <w:kern w:val="0"/>
          <w:sz w:val="32"/>
          <w:szCs w:val="32"/>
        </w:rPr>
        <w:t> </w:t>
      </w:r>
      <w:r>
        <w:rPr>
          <w:rFonts w:hint="eastAsia" w:ascii="仿宋" w:hAnsi="仿宋" w:eastAsia="仿宋" w:cs="仿宋"/>
          <w:b w:val="0"/>
          <w:bCs w:val="0"/>
          <w:color w:val="333333"/>
          <w:kern w:val="0"/>
          <w:sz w:val="32"/>
          <w:szCs w:val="32"/>
          <w:lang w:val="en-US" w:eastAsia="zh-CN"/>
        </w:rPr>
        <w:t>十、 部门整体支出绩效目标表</w:t>
      </w:r>
    </w:p>
    <w:p>
      <w:pPr>
        <w:widowControl/>
        <w:shd w:val="clear" w:color="auto" w:fill="FFFFFF"/>
        <w:spacing w:line="580" w:lineRule="atLeast"/>
        <w:ind w:firstLine="160"/>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十一、部门预算项目绩效目标表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rPr>
      </w:pPr>
      <w:r>
        <w:rPr>
          <w:rFonts w:hint="eastAsia"/>
        </w:rPr>
        <w:t xml:space="preserve"> </w:t>
      </w:r>
      <w:r>
        <w:rPr>
          <w:rFonts w:hint="eastAsia"/>
          <w:lang w:val="en-US" w:eastAsia="zh-CN"/>
        </w:rPr>
        <w:t xml:space="preserve">               </w:t>
      </w:r>
      <w:r>
        <w:rPr>
          <w:rFonts w:hint="eastAsia"/>
          <w:b/>
          <w:bCs/>
          <w:lang w:val="en-US" w:eastAsia="zh-CN"/>
        </w:rPr>
        <w:t xml:space="preserve">  </w:t>
      </w:r>
      <w:r>
        <w:rPr>
          <w:rFonts w:hint="eastAsia"/>
          <w:b/>
          <w:bCs/>
        </w:rPr>
        <w:t>第一部分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896" w:firstLineChars="600"/>
        <w:textAlignment w:val="auto"/>
        <w:rPr>
          <w:rFonts w:hint="eastAsia"/>
          <w:b/>
          <w:bCs/>
        </w:rPr>
      </w:pPr>
      <w:r>
        <w:rPr>
          <w:rFonts w:hint="eastAsia"/>
          <w:b/>
          <w:bCs/>
        </w:rPr>
        <w:t xml:space="preserve"> 内乡县文化广电和旅游局概况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一、 内乡县文化广电和旅游局主要职责：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(一）贯彻执行党和国家关于文化工作的方针政策，执行有关法律、法规和规章，研究拟订全县文化、广播电视、旅游、文物工作的政策性措施并组织实施。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(二）统筹规划全县文化广电事业、文化广电产业和旅游业发展， 拟订发展规划并组织实施，推进文化和旅游融合发展，推进文化和旅游体制机制改革。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rPr>
        <w:t>(三）管理全县重大文化、广播电视和旅游活动，指导全县重点文化、广播电视和旅游设施建设，组织全县文化和旅游整体形象宣传推广，促进文化产业和旅游产业对外合作和市场推广，拟订旅游市场开发规划并组织实施，指导、推进全域旅游，扶助贫困乡村广播电视建设和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(四）指导、管理全县文艺事业，指导艺术创作生产，扶持体现社会主义核心价值观、具有导向性代表性示范性的文艺作品，推动各相关门类艺术、各相关艺术品种发展。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(五）负责全县公共文化广电事业发展，推进公共文化服务体系建设和旅游公共服务建设，深入推进旅游惠民，推动文化惠民工程实施。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(六）指导、推进全县文化、广播电视和旅游科技创新发展，推进文化、广播电视和旅游行业信息化、标准化建设。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(七）负责全县非物质文化遗产保护，推动非物质文化遗产的传承、普及、弘扬和振兴。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(八）统筹规划全县文化、广播电视产业和旅游产业，组织实施文化和旅游资源普查、挖掘、保护和利用工作，促进文化产业和旅游产业发展。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九）指导全县文化、广播电视和旅游市场发展，对文化、广播电视和旅游市场经营进行行业监管，推进文化、广播电视和旅游行业信用体系建设，依法规范文化、广播电视和旅游市场，会同有关部门履行行业安全监管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(十)负责对广播电视节目内容和质量以及传输覆盖、监测、安全播出的监督管理；负责对网络视听节目内容和质量以及广播电视广告播放的监督管理。指导推进全县“智慧广电”建设和应急广播体系建设。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(十一）指导全县文化市场综合执法，组织查处文化、文物、出版、广播电视、旅游等市场的违法行为，督查督办大案要案，维护市场秩序。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(十二)指导、管理全县文化、广播电视、文物和旅游对外及对港澳台交流、合作和宣传、推广工作，组织大型对外及对港澳台交流、推广活动。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(十三)负责全县文物的保护、管理、宣传、研究、调查、勘探、考古工作。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(十四)负责全县博物馆、纪念馆业务和公共服务工作，指导社会文物的管理、抢救、征集等工作。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(十五)负责对全县动漫和网络游戏相关产业规划、产业基地、项目建设、会展交易和市场监管，对全县电视动漫和网络视听中的动漫节目进行管理。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(十六)完成县委、县政府交办的其他任务。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b/>
          <w:bCs/>
        </w:rPr>
      </w:pPr>
      <w:r>
        <w:rPr>
          <w:rFonts w:hint="eastAsia"/>
          <w:b/>
          <w:bCs/>
        </w:rPr>
        <w:t>二、 机构设置及部门预算单位构成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b/>
          <w:bCs/>
        </w:rPr>
        <w:t>（一）机构设置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 xml:space="preserve">内乡县文化广电和旅游局内设机构10个，包括：办公室、科技教育股（党务和人事股）、计划财务股、公共服务股、文化遗产管理股、产业开发股、行政审批和执法监督股、宣传监管与推广股、旅游事业股、广电事业股。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b/>
          <w:bCs/>
        </w:rPr>
      </w:pPr>
      <w:r>
        <w:rPr>
          <w:rFonts w:hint="eastAsia"/>
          <w:b/>
          <w:bCs/>
        </w:rPr>
        <w:t>（二） 部门预算单位构成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从预算单位构成看，内乡县文化广电和旅游局部门预算包括：局机关本级决算和局属事业单位预算。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纳入本部门202</w:t>
      </w:r>
      <w:r>
        <w:rPr>
          <w:rFonts w:hint="eastAsia"/>
          <w:lang w:val="en-US" w:eastAsia="zh-CN"/>
        </w:rPr>
        <w:t>1</w:t>
      </w:r>
      <w:r>
        <w:rPr>
          <w:rFonts w:hint="eastAsia"/>
        </w:rPr>
        <w:t>年度部门预算编制范围的单位共8个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1、局机关本级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2、内乡县文化馆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3、内乡县图书馆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4、内乡县文物管理办公室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5、内乡县宛梆艺术传承保护中心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6、南阳宛梆艺术中等职业学校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rPr>
        <w:t>7、内乡县衙博物馆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48" w:firstLineChars="300"/>
        <w:textAlignment w:val="auto"/>
        <w:rPr>
          <w:rFonts w:hint="eastAsia"/>
        </w:rPr>
      </w:pPr>
      <w:r>
        <w:rPr>
          <w:rFonts w:hint="eastAsia"/>
          <w:lang w:val="en-US" w:eastAsia="zh-CN"/>
        </w:rPr>
        <w:t>8、</w:t>
      </w:r>
      <w:r>
        <w:rPr>
          <w:rFonts w:hint="eastAsia"/>
        </w:rPr>
        <w:t>内乡县菊潭公园管理处。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476" w:firstLineChars="1100"/>
        <w:textAlignment w:val="auto"/>
        <w:rPr>
          <w:rFonts w:hint="eastAsia"/>
          <w:b/>
          <w:bCs/>
        </w:rPr>
      </w:pPr>
      <w:r>
        <w:rPr>
          <w:rFonts w:hint="eastAsia"/>
          <w:b/>
          <w:bCs/>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内乡县文化广电和旅游局202</w:t>
      </w:r>
      <w:r>
        <w:rPr>
          <w:rFonts w:hint="eastAsia"/>
          <w:b/>
          <w:bCs/>
          <w:lang w:val="en-US" w:eastAsia="zh-CN"/>
        </w:rPr>
        <w:t>1</w:t>
      </w:r>
      <w:r>
        <w:rPr>
          <w:rFonts w:hint="eastAsia"/>
          <w:b/>
          <w:bCs/>
        </w:rPr>
        <w:t>年度部门预算情况说明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一、收入支出预算总体情况说明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lang w:eastAsia="zh-CN"/>
        </w:rPr>
      </w:pPr>
      <w:r>
        <w:rPr>
          <w:rFonts w:hint="eastAsia"/>
        </w:rPr>
        <w:t>内乡县文化广电和旅游局202</w:t>
      </w:r>
      <w:r>
        <w:rPr>
          <w:rFonts w:hint="eastAsia"/>
          <w:lang w:val="en-US" w:eastAsia="zh-CN"/>
        </w:rPr>
        <w:t>1</w:t>
      </w:r>
      <w:r>
        <w:rPr>
          <w:rFonts w:hint="eastAsia"/>
        </w:rPr>
        <w:t>年度收入总计</w:t>
      </w:r>
      <w:r>
        <w:rPr>
          <w:rFonts w:hint="eastAsia"/>
          <w:lang w:val="en-US" w:eastAsia="zh-CN"/>
        </w:rPr>
        <w:t>4912.8</w:t>
      </w:r>
      <w:r>
        <w:rPr>
          <w:rFonts w:hint="eastAsia"/>
        </w:rPr>
        <w:t>万元，支出总计</w:t>
      </w:r>
      <w:r>
        <w:rPr>
          <w:rFonts w:hint="eastAsia"/>
          <w:lang w:val="en-US" w:eastAsia="zh-CN"/>
        </w:rPr>
        <w:t>4912.8</w:t>
      </w:r>
      <w:r>
        <w:rPr>
          <w:rFonts w:hint="eastAsia"/>
        </w:rPr>
        <w:t>万元，与上年预算相比，收、支总计各增加</w:t>
      </w:r>
      <w:r>
        <w:rPr>
          <w:rFonts w:hint="eastAsia"/>
          <w:lang w:val="en-US" w:eastAsia="zh-CN"/>
        </w:rPr>
        <w:t>567.3</w:t>
      </w:r>
      <w:r>
        <w:rPr>
          <w:rFonts w:hint="eastAsia"/>
        </w:rPr>
        <w:t>万元，增长</w:t>
      </w:r>
      <w:r>
        <w:rPr>
          <w:rFonts w:hint="eastAsia"/>
          <w:lang w:val="en-US" w:eastAsia="zh-CN"/>
        </w:rPr>
        <w:t>13.1</w:t>
      </w:r>
      <w:r>
        <w:rPr>
          <w:rFonts w:hint="eastAsia"/>
        </w:rPr>
        <w:t>%。主要原因：</w:t>
      </w:r>
      <w:r>
        <w:rPr>
          <w:rFonts w:hint="eastAsia"/>
          <w:lang w:eastAsia="zh-CN"/>
        </w:rPr>
        <w:t>人员工资增加，国有资产收益和专户收入有所增加。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二、收入预算总体情况说明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年度收入总计</w:t>
      </w:r>
      <w:r>
        <w:rPr>
          <w:rFonts w:hint="eastAsia"/>
          <w:lang w:val="en-US" w:eastAsia="zh-CN"/>
        </w:rPr>
        <w:t>4912.8</w:t>
      </w:r>
      <w:r>
        <w:rPr>
          <w:rFonts w:hint="eastAsia"/>
        </w:rPr>
        <w:t>万元，其中：一般公共预算收入</w:t>
      </w:r>
      <w:r>
        <w:rPr>
          <w:rFonts w:hint="eastAsia"/>
          <w:lang w:val="en-US" w:eastAsia="zh-CN"/>
        </w:rPr>
        <w:t>4809.8</w:t>
      </w:r>
      <w:r>
        <w:rPr>
          <w:rFonts w:hint="eastAsia"/>
        </w:rPr>
        <w:t>万元；政府性基金预算收入0万元；财政专户收入</w:t>
      </w:r>
      <w:r>
        <w:rPr>
          <w:rFonts w:hint="eastAsia"/>
          <w:lang w:val="en-US" w:eastAsia="zh-CN"/>
        </w:rPr>
        <w:t>103</w:t>
      </w:r>
      <w:r>
        <w:rPr>
          <w:rFonts w:hint="eastAsia"/>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三、支出预算总体情况说明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年度支出总计</w:t>
      </w:r>
      <w:r>
        <w:rPr>
          <w:rFonts w:hint="eastAsia"/>
          <w:lang w:val="en-US" w:eastAsia="zh-CN"/>
        </w:rPr>
        <w:t>4912.8</w:t>
      </w:r>
      <w:r>
        <w:rPr>
          <w:rFonts w:hint="eastAsia"/>
        </w:rPr>
        <w:t>万元，其中：</w:t>
      </w:r>
      <w:r>
        <w:rPr>
          <w:rFonts w:hint="eastAsia"/>
          <w:lang w:eastAsia="zh-CN"/>
        </w:rPr>
        <w:t>基</w:t>
      </w:r>
      <w:r>
        <w:rPr>
          <w:rFonts w:hint="eastAsia"/>
        </w:rPr>
        <w:t>本支出</w:t>
      </w:r>
      <w:r>
        <w:rPr>
          <w:rFonts w:hint="eastAsia"/>
          <w:lang w:val="en-US" w:eastAsia="zh-CN"/>
        </w:rPr>
        <w:t>1675.2</w:t>
      </w:r>
      <w:r>
        <w:rPr>
          <w:rFonts w:hint="eastAsia"/>
        </w:rPr>
        <w:t>万元，占总支出的</w:t>
      </w:r>
      <w:r>
        <w:rPr>
          <w:rFonts w:hint="eastAsia"/>
          <w:lang w:val="en-US" w:eastAsia="zh-CN"/>
        </w:rPr>
        <w:t>34.1</w:t>
      </w:r>
      <w:r>
        <w:rPr>
          <w:rFonts w:hint="eastAsia"/>
        </w:rPr>
        <w:t>%；项目支出</w:t>
      </w:r>
      <w:r>
        <w:rPr>
          <w:rFonts w:hint="eastAsia"/>
          <w:lang w:val="en-US" w:eastAsia="zh-CN"/>
        </w:rPr>
        <w:t>3237.6</w:t>
      </w:r>
      <w:r>
        <w:rPr>
          <w:rFonts w:hint="eastAsia"/>
        </w:rPr>
        <w:t>元，占总支出的</w:t>
      </w:r>
      <w:r>
        <w:rPr>
          <w:rFonts w:hint="eastAsia"/>
          <w:lang w:val="en-US" w:eastAsia="zh-CN"/>
        </w:rPr>
        <w:t>65.9</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四、财政拨款收入支出预算总体情况说明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lang w:eastAsia="zh-CN"/>
        </w:rPr>
      </w:pPr>
      <w:r>
        <w:rPr>
          <w:rFonts w:hint="eastAsia"/>
        </w:rPr>
        <w:t>内乡县文化广电和旅游局202</w:t>
      </w:r>
      <w:r>
        <w:rPr>
          <w:rFonts w:hint="eastAsia"/>
          <w:lang w:val="en-US" w:eastAsia="zh-CN"/>
        </w:rPr>
        <w:t>1</w:t>
      </w:r>
      <w:r>
        <w:rPr>
          <w:rFonts w:hint="eastAsia"/>
        </w:rPr>
        <w:t>年度财政拨款收入预算</w:t>
      </w:r>
      <w:r>
        <w:rPr>
          <w:rFonts w:hint="eastAsia"/>
          <w:lang w:val="en-US" w:eastAsia="zh-CN"/>
        </w:rPr>
        <w:t>3841.8</w:t>
      </w:r>
      <w:r>
        <w:rPr>
          <w:rFonts w:hint="eastAsia"/>
        </w:rPr>
        <w:t>万元，支出预算</w:t>
      </w:r>
      <w:r>
        <w:rPr>
          <w:rFonts w:hint="eastAsia"/>
          <w:lang w:val="en-US" w:eastAsia="zh-CN"/>
        </w:rPr>
        <w:t>3841.8</w:t>
      </w:r>
      <w:r>
        <w:rPr>
          <w:rFonts w:hint="eastAsia"/>
        </w:rPr>
        <w:t>万元；与上年相比，财政拨款收支预算增加</w:t>
      </w:r>
      <w:r>
        <w:rPr>
          <w:rFonts w:hint="eastAsia"/>
          <w:lang w:val="en-US" w:eastAsia="zh-CN"/>
        </w:rPr>
        <w:t>380.6</w:t>
      </w:r>
      <w:r>
        <w:rPr>
          <w:rFonts w:hint="eastAsia"/>
        </w:rPr>
        <w:t>万元，增长</w:t>
      </w:r>
      <w:r>
        <w:rPr>
          <w:rFonts w:hint="eastAsia"/>
          <w:lang w:val="en-US" w:eastAsia="zh-CN"/>
        </w:rPr>
        <w:t>11</w:t>
      </w:r>
      <w:r>
        <w:rPr>
          <w:rFonts w:hint="eastAsia"/>
        </w:rPr>
        <w:t>%。主要原因：</w:t>
      </w:r>
      <w:r>
        <w:rPr>
          <w:rFonts w:hint="eastAsia"/>
          <w:lang w:eastAsia="zh-CN"/>
        </w:rPr>
        <w:t>人员工资增加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五、一般公共预算支出预算总体情况说明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年度一般公共预算支出年初预算</w:t>
      </w:r>
      <w:r>
        <w:rPr>
          <w:rFonts w:hint="eastAsia"/>
          <w:lang w:val="en-US" w:eastAsia="zh-CN"/>
        </w:rPr>
        <w:t>4809.8</w:t>
      </w:r>
      <w:r>
        <w:rPr>
          <w:rFonts w:hint="eastAsia"/>
        </w:rPr>
        <w:t>万元。主要用于以下方面：教育（类）支出</w:t>
      </w:r>
      <w:r>
        <w:rPr>
          <w:rFonts w:hint="eastAsia"/>
          <w:lang w:val="en-US" w:eastAsia="zh-CN"/>
        </w:rPr>
        <w:t>21.4</w:t>
      </w:r>
      <w:r>
        <w:rPr>
          <w:rFonts w:hint="eastAsia"/>
        </w:rPr>
        <w:t>万元，占0.</w:t>
      </w:r>
      <w:r>
        <w:rPr>
          <w:rFonts w:hint="eastAsia"/>
          <w:lang w:val="en-US" w:eastAsia="zh-CN"/>
        </w:rPr>
        <w:t>4</w:t>
      </w:r>
      <w:r>
        <w:rPr>
          <w:rFonts w:hint="eastAsia"/>
        </w:rPr>
        <w:t>%；文化旅游体育与传媒（类）支出</w:t>
      </w:r>
      <w:r>
        <w:rPr>
          <w:rFonts w:hint="eastAsia"/>
          <w:lang w:val="en-US" w:eastAsia="zh-CN"/>
        </w:rPr>
        <w:t>4788.4</w:t>
      </w:r>
      <w:r>
        <w:rPr>
          <w:rFonts w:hint="eastAsia"/>
        </w:rPr>
        <w:t>万元，占99.</w:t>
      </w:r>
      <w:r>
        <w:rPr>
          <w:rFonts w:hint="eastAsia"/>
          <w:lang w:val="en-US" w:eastAsia="zh-CN"/>
        </w:rPr>
        <w:t>6</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六、一般公共预算基本支出经济分类情况说明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lang w:eastAsia="zh-CN"/>
        </w:rPr>
        <w:t>按</w:t>
      </w:r>
      <w:r>
        <w:rPr>
          <w:rFonts w:hint="eastAsia"/>
        </w:rPr>
        <w:t>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局《支出经济分类汇总表》按两套经济分类科目分别反映不同资金来源的全部预算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年度一般公共预算基本支出</w:t>
      </w:r>
      <w:r>
        <w:rPr>
          <w:rFonts w:hint="eastAsia"/>
          <w:lang w:val="en-US" w:eastAsia="zh-CN"/>
        </w:rPr>
        <w:t>1625.2</w:t>
      </w:r>
      <w:r>
        <w:rPr>
          <w:rFonts w:hint="eastAsia"/>
        </w:rPr>
        <w:t>万元，其中：人员经费</w:t>
      </w:r>
      <w:r>
        <w:rPr>
          <w:rFonts w:hint="eastAsia"/>
          <w:lang w:val="en-US" w:eastAsia="zh-CN"/>
        </w:rPr>
        <w:t>1575.6</w:t>
      </w:r>
      <w:r>
        <w:rPr>
          <w:rFonts w:hint="eastAsia"/>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lang w:val="en-US" w:eastAsia="zh-CN"/>
        </w:rPr>
        <w:t>49.6</w:t>
      </w:r>
      <w:r>
        <w:rPr>
          <w:rFonts w:hint="eastAsia"/>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b/>
          <w:bCs/>
        </w:rPr>
        <w:t>七、政府性基金预算支出情况说明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年无使用政府性基金预算拨款安排的支出。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八、“三公”经费支出预算情况说明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年一般公共预算安排的“三公”经费预算为</w:t>
      </w:r>
      <w:r>
        <w:rPr>
          <w:rFonts w:hint="eastAsia"/>
          <w:lang w:val="en-US" w:eastAsia="zh-CN"/>
        </w:rPr>
        <w:t>30.8</w:t>
      </w:r>
      <w:r>
        <w:rPr>
          <w:rFonts w:hint="eastAsia"/>
        </w:rPr>
        <w:t>万元。202</w:t>
      </w:r>
      <w:r>
        <w:rPr>
          <w:rFonts w:hint="eastAsia"/>
          <w:lang w:val="en-US" w:eastAsia="zh-CN"/>
        </w:rPr>
        <w:t>1</w:t>
      </w:r>
      <w:r>
        <w:rPr>
          <w:rFonts w:hint="eastAsia"/>
        </w:rPr>
        <w:t>年“三公”经费支出预算数</w:t>
      </w:r>
      <w:r>
        <w:rPr>
          <w:rFonts w:hint="eastAsia"/>
          <w:lang w:eastAsia="zh-CN"/>
        </w:rPr>
        <w:t>与上年持平</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具体支出情况如下：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（一）因公出国（境）费0万元，主要用于单位工作人员公务出国（境）的住宿费、旅费、伙食补助费、杂费、培训费等支出。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（二）公务用车购置及运行费10万元，其中，公务用车购置费0万元；公务用车运行维护费10万元，主要用于开展工作所需公务用车的燃料费、维修费、过路过桥费、保险费等支出。202</w:t>
      </w:r>
      <w:r>
        <w:rPr>
          <w:rFonts w:hint="eastAsia"/>
          <w:lang w:val="en-US" w:eastAsia="zh-CN"/>
        </w:rPr>
        <w:t>1</w:t>
      </w:r>
      <w:r>
        <w:rPr>
          <w:rFonts w:hint="eastAsia"/>
        </w:rPr>
        <w:t>年支出预算数与上年持平。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lang w:eastAsia="zh-CN"/>
        </w:rPr>
      </w:pPr>
      <w:r>
        <w:rPr>
          <w:rFonts w:hint="eastAsia"/>
        </w:rPr>
        <w:t>（三）公务接待费</w:t>
      </w:r>
      <w:r>
        <w:rPr>
          <w:rFonts w:hint="eastAsia"/>
          <w:lang w:val="en-US" w:eastAsia="zh-CN"/>
        </w:rPr>
        <w:t>20.8</w:t>
      </w:r>
      <w:r>
        <w:rPr>
          <w:rFonts w:hint="eastAsia"/>
        </w:rPr>
        <w:t>万元，主要用于按规定开支的各类公务接待（含外宾接待）支出。</w:t>
      </w:r>
      <w:r>
        <w:rPr>
          <w:rFonts w:hint="eastAsia"/>
          <w:lang w:val="en-US" w:eastAsia="zh-CN"/>
        </w:rPr>
        <w:t>2021年</w:t>
      </w:r>
      <w:r>
        <w:rPr>
          <w:rFonts w:hint="eastAsia"/>
        </w:rPr>
        <w:t>预算数</w:t>
      </w:r>
      <w:r>
        <w:rPr>
          <w:rFonts w:hint="eastAsia"/>
          <w:lang w:eastAsia="zh-CN"/>
        </w:rPr>
        <w:t>与上年持平。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九、其他重要事项情况的说明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（一）机关运行经费支出情况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年度一般公共预算财政拨款的机关运行经费支出为</w:t>
      </w:r>
      <w:r>
        <w:rPr>
          <w:rFonts w:hint="eastAsia"/>
          <w:highlight w:val="none"/>
          <w:lang w:val="en-US" w:eastAsia="zh-CN"/>
        </w:rPr>
        <w:t>33.01</w:t>
      </w:r>
      <w:r>
        <w:rPr>
          <w:rFonts w:hint="eastAsia"/>
        </w:rPr>
        <w:t>万元，主要用于保障机关正常运转等经费。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（二）政府采购支出情况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1年度无政府采购支出项目。</w:t>
      </w:r>
      <w:r>
        <w:rPr>
          <w:rFonts w:hint="eastAsia"/>
        </w:rPr>
        <w:t>（三）关于预算绩效管理工作开展情况说明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内乡县文化广电和旅游局202</w:t>
      </w:r>
      <w:r>
        <w:rPr>
          <w:rFonts w:hint="eastAsia"/>
          <w:lang w:val="en-US" w:eastAsia="zh-CN"/>
        </w:rPr>
        <w:t>1</w:t>
      </w:r>
      <w:r>
        <w:rPr>
          <w:rFonts w:hint="eastAsia"/>
        </w:rPr>
        <w:t>年预算项目均按要求编制了绩效目标，从项目产出、项目效益、满意度等方面设置了绩效指标，综合反映项目预期完成的数量、实效、质量，预期达到的社会经济效益、可持续影响以及服务对象满意度等情况。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202</w:t>
      </w:r>
      <w:r>
        <w:rPr>
          <w:rFonts w:hint="eastAsia"/>
          <w:lang w:val="en-US" w:eastAsia="zh-CN"/>
        </w:rPr>
        <w:t>1</w:t>
      </w:r>
      <w:r>
        <w:rPr>
          <w:rFonts w:hint="eastAsia"/>
        </w:rPr>
        <w:t>年部门预算金额共计</w:t>
      </w:r>
      <w:r>
        <w:rPr>
          <w:rFonts w:hint="default"/>
          <w:highlight w:val="none"/>
          <w:lang w:eastAsia="zh-CN"/>
        </w:rPr>
        <w:t>4912.8</w:t>
      </w:r>
      <w:r>
        <w:rPr>
          <w:rFonts w:hint="eastAsia"/>
        </w:rPr>
        <w:t>万元，其中项目共</w:t>
      </w:r>
      <w:r>
        <w:rPr>
          <w:rFonts w:hint="default"/>
          <w:highlight w:val="none"/>
          <w:lang w:eastAsia="zh-CN"/>
        </w:rPr>
        <w:t>33</w:t>
      </w:r>
      <w:r>
        <w:rPr>
          <w:rFonts w:hint="eastAsia"/>
        </w:rPr>
        <w:t>个，金额为</w:t>
      </w:r>
      <w:r>
        <w:rPr>
          <w:rFonts w:hint="default"/>
          <w:highlight w:val="none"/>
          <w:lang w:eastAsia="zh-CN"/>
        </w:rPr>
        <w:t>3</w:t>
      </w:r>
      <w:r>
        <w:rPr>
          <w:rFonts w:hint="eastAsia"/>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（四）国有资产占用情况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rPr>
      </w:pPr>
      <w:r>
        <w:rPr>
          <w:rFonts w:hint="eastAsia"/>
        </w:rPr>
        <w:t>20</w:t>
      </w:r>
      <w:r>
        <w:rPr>
          <w:rFonts w:hint="eastAsia"/>
          <w:lang w:val="en-US" w:eastAsia="zh-CN"/>
        </w:rPr>
        <w:t>20</w:t>
      </w:r>
      <w:r>
        <w:rPr>
          <w:rFonts w:hint="eastAsia"/>
        </w:rPr>
        <w:t>年末，内乡县文化广电和旅游局所属单位共有车改保留车辆2辆，其中：应急保障用车0辆、一般执法执勤用车0辆、特种专业技术用车0辆，离退休干部用车0辆，其他用车2辆；单价50万元以上通用设备0台（套）。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b/>
          <w:bCs/>
        </w:rPr>
      </w:pPr>
      <w:r>
        <w:rPr>
          <w:rFonts w:hint="eastAsia"/>
          <w:b/>
          <w:bCs/>
        </w:rPr>
        <w:t>（五）专项转移支付项目情况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16" w:firstLineChars="100"/>
        <w:textAlignment w:val="auto"/>
        <w:rPr>
          <w:rFonts w:hint="eastAsia"/>
        </w:rPr>
      </w:pPr>
      <w:r>
        <w:rPr>
          <w:rFonts w:hint="eastAsia"/>
        </w:rPr>
        <w:t>内乡县文化广电和旅游局202</w:t>
      </w:r>
      <w:r>
        <w:rPr>
          <w:rFonts w:hint="eastAsia"/>
          <w:lang w:val="en-US" w:eastAsia="zh-CN"/>
        </w:rPr>
        <w:t>1</w:t>
      </w:r>
      <w:r>
        <w:rPr>
          <w:rFonts w:hint="eastAsia"/>
        </w:rPr>
        <w:t>年无专项转移支付项目。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844" w:firstLineChars="900"/>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844" w:firstLineChars="900"/>
        <w:textAlignment w:val="auto"/>
        <w:rPr>
          <w:rFonts w:hint="eastAsia"/>
        </w:rPr>
      </w:pPr>
      <w:r>
        <w:rPr>
          <w:rFonts w:hint="eastAsia"/>
          <w:b/>
          <w:bCs/>
        </w:rPr>
        <w:t>第三部分  名词解释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16" w:firstLineChars="100"/>
        <w:textAlignment w:val="auto"/>
        <w:rPr>
          <w:rFonts w:hint="eastAsia"/>
        </w:rPr>
      </w:pPr>
      <w:r>
        <w:rPr>
          <w:rFonts w:hint="eastAsia"/>
        </w:rPr>
        <w:t>一、财政拨款收入：是指县级财政当年拨付的资金。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16" w:firstLineChars="100"/>
        <w:textAlignment w:val="auto"/>
        <w:rPr>
          <w:rFonts w:hint="eastAsia"/>
        </w:rPr>
      </w:pPr>
      <w:r>
        <w:rPr>
          <w:rFonts w:hint="eastAsia"/>
        </w:rPr>
        <w:t>二、事业收入：是指事业单位开展专业活动及辅助活动所取得的收入。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16" w:firstLineChars="100"/>
        <w:textAlignment w:val="auto"/>
        <w:rPr>
          <w:rFonts w:hint="eastAsia"/>
        </w:rPr>
      </w:pPr>
      <w:r>
        <w:rPr>
          <w:rFonts w:hint="eastAsia"/>
        </w:rPr>
        <w:t>三、其他收入：是指部门取得的除“财政拨款”、“事业收入”、“事业单位经营收入”等以外的收入。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16" w:firstLineChars="100"/>
        <w:textAlignment w:val="auto"/>
        <w:rPr>
          <w:rFonts w:hint="eastAsia"/>
        </w:rPr>
      </w:pPr>
      <w:r>
        <w:rPr>
          <w:rFonts w:hint="eastAsia"/>
        </w:rPr>
        <w:t>四、“三公”经费：是指纳入县级财政预算管理，部门使用财政拨款安排的因公出国（境）费、公务用车购置及运行费和公务接待费。其中，因公出国（境）费反映单位公务出国（境）的住宿费、旅费、伙食费、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476" w:firstLineChars="1100"/>
        <w:textAlignment w:val="auto"/>
        <w:rPr>
          <w:rFonts w:hint="eastAsia"/>
          <w:b/>
          <w:bCs/>
        </w:rPr>
      </w:pPr>
      <w:r>
        <w:rPr>
          <w:rFonts w:hint="eastAsia"/>
          <w:b/>
          <w:bCs/>
        </w:rPr>
        <w:t xml:space="preserve">第四部分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16" w:firstLineChars="100"/>
        <w:textAlignment w:val="auto"/>
        <w:rPr>
          <w:rFonts w:hint="eastAsia"/>
          <w:b/>
          <w:bCs/>
        </w:rPr>
      </w:pPr>
      <w:r>
        <w:rPr>
          <w:rFonts w:hint="eastAsia"/>
          <w:b/>
          <w:bCs/>
        </w:rPr>
        <w:t>附件：内乡县文化广电和旅游局202</w:t>
      </w:r>
      <w:r>
        <w:rPr>
          <w:rFonts w:hint="eastAsia"/>
          <w:b/>
          <w:bCs/>
          <w:lang w:val="en-US" w:eastAsia="zh-CN"/>
        </w:rPr>
        <w:t>1</w:t>
      </w:r>
      <w:r>
        <w:rPr>
          <w:rFonts w:hint="eastAsia"/>
          <w:b/>
          <w:bCs/>
        </w:rPr>
        <w:t>年度部门预算表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rPr>
        <w:sectPr>
          <w:pgSz w:w="11906" w:h="16838"/>
          <w:pgMar w:top="2098" w:right="1474" w:bottom="1984" w:left="1587" w:header="851" w:footer="1417" w:gutter="0"/>
          <w:cols w:space="0" w:num="1"/>
          <w:rtlGutter w:val="0"/>
          <w:docGrid w:type="linesAndChars" w:linePitch="579" w:charSpace="-842"/>
        </w:sectPr>
      </w:pPr>
    </w:p>
    <w:tbl>
      <w:tblPr>
        <w:tblW w:w="15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74"/>
        <w:gridCol w:w="1263"/>
        <w:gridCol w:w="2291"/>
        <w:gridCol w:w="1375"/>
        <w:gridCol w:w="1375"/>
        <w:gridCol w:w="1778"/>
        <w:gridCol w:w="1337"/>
        <w:gridCol w:w="1337"/>
        <w:gridCol w:w="897"/>
        <w:gridCol w:w="897"/>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109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93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990"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33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870"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980" w:type="dxa"/>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1"/>
            <w:vMerge w:val="restart"/>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2021年部门收支预算总表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11"/>
            <w:vMerge w:val="continue"/>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部门名称：内乡县文化广电新闻出版局</w:t>
            </w: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gridSpan w:val="4"/>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        入</w:t>
            </w:r>
          </w:p>
        </w:tc>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0" w:type="auto"/>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gridSpan w:val="2"/>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一般公共预算支出</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基金安排</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专户安排</w:t>
            </w:r>
          </w:p>
        </w:tc>
        <w:tc>
          <w:tcPr>
            <w:tcW w:w="87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本级财力补助下级支出</w:t>
            </w:r>
          </w:p>
        </w:tc>
        <w:tc>
          <w:tcPr>
            <w:tcW w:w="87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上年结转安排</w:t>
            </w:r>
          </w:p>
        </w:tc>
        <w:tc>
          <w:tcPr>
            <w:tcW w:w="111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提前下达转移支付安排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0" w:type="auto"/>
            <w:tcBorders>
              <w:top w:val="single" w:color="000000" w:sz="4" w:space="0"/>
              <w:left w:val="nil"/>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7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1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3,841.8 </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1,675.2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1,625.2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885.2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二、收费安排</w:t>
            </w: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三、专项收入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2、事业人员经费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1,409.8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1,359.8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619.8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四、罚没收入</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 </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五、国有资本收益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960.0 </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3,237.6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3,184.6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2,964.6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六、政府住房基金收入</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1、一般性项目支出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994.7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941.7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七、政府性基金</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2,242.9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2,242.9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2,242.9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八、专户收入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 </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2.1、政策性配套支出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九、结余结转收入</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2.2、事业发展专项支出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十、本级财力补助下级支出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2.3、其他资本性支出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44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十一、提前下达转移支付支出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2.4、偿债支出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2.5、其他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4,912.8 </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4,912.8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3,849.8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tbl>
      <w:tblPr>
        <w:tblW w:w="14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25"/>
        <w:gridCol w:w="4905"/>
        <w:gridCol w:w="4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42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490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4890" w:type="dxa"/>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3"/>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部门名称：内乡县文化广电新闻出版局</w:t>
            </w: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        入</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3,841.8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二、收费安排</w:t>
            </w: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三、专项收入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四、罚没收入</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五、国有资本收益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960.0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六、政府住房基金收入</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七、政府性基金</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八、专户收入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九、结余结转收入</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十、本级财力补助下级支出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2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十一、提前下达转移支付支出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4,912.8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tbl>
      <w:tblPr>
        <w:tblW w:w="128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88"/>
        <w:gridCol w:w="928"/>
        <w:gridCol w:w="928"/>
        <w:gridCol w:w="1235"/>
        <w:gridCol w:w="928"/>
        <w:gridCol w:w="1311"/>
        <w:gridCol w:w="1388"/>
        <w:gridCol w:w="1166"/>
        <w:gridCol w:w="1311"/>
        <w:gridCol w:w="1081"/>
        <w:gridCol w:w="1388"/>
        <w:gridCol w:w="1158"/>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9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8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93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20"/>
                <w:szCs w:val="20"/>
                <w:u w:val="none"/>
              </w:rPr>
            </w:pPr>
          </w:p>
        </w:tc>
        <w:tc>
          <w:tcPr>
            <w:tcW w:w="1620" w:type="dxa"/>
            <w:tcBorders>
              <w:top w:val="nil"/>
              <w:left w:val="nil"/>
              <w:bottom w:val="nil"/>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106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1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45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1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6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2145" w:type="dxa"/>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3"/>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5"/>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内乡县文化广电新闻出版局</w:t>
            </w: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单位代码</w:t>
            </w:r>
          </w:p>
        </w:tc>
        <w:tc>
          <w:tcPr>
            <w:tcW w:w="16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620" w:type="dxa"/>
            <w:tcBorders>
              <w:top w:val="nil"/>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4,912.8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1,675.2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1,409.8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37.5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3,237.6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994.7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内乡县文化广电和旅游局</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2,540.4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142.0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26.4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2,144.1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142.0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26.4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1,585.3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1,585.3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155.8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155.8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旅游宣传</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其他文化和旅游支出</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299.0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299.0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138002</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内乡县图书馆</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154.9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80.6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138002</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80.6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138002</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138002</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图书馆</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138002</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138002</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其他文化和旅游支出</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138003</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内乡县文化馆</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269.1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162.6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138003</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162.6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138003</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艺术表演团体</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138003</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138004</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内乡县文物管理办公室</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83.6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51.6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49.8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138004</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行政运行（文物）</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51.6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51.6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49.8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138004</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一般行政管理事务（文物）</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138004</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138005</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内乡县人民剧院管理委员会</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138005</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138006</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内乡县宛梆剧团</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207.2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138006</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138006</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艺术表演团体</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138007</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南阳宛梆艺术中等职业学校</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81.4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71.4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71.4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138007</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中等职业教育</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138007</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138007</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艺术表演团体</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138008</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内乡县菊谭公园管理处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221.0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138008</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138008</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内乡县县衙博物馆</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1,290.0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139001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139001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行政运行（文物）</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139001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49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4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93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139001</w:t>
            </w:r>
          </w:p>
        </w:tc>
        <w:tc>
          <w:tcPr>
            <w:tcW w:w="16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博物馆</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91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tbl>
      <w:tblPr>
        <w:tblW w:w="146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847"/>
        <w:gridCol w:w="3585"/>
        <w:gridCol w:w="3825"/>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78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358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825" w:type="dxa"/>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3495" w:type="dxa"/>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4"/>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2021年财政拨款预算收支情况表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部门名称：内乡县文化广电新闻出版局</w:t>
            </w: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3,841.8 </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1、行政人员经费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2、事业人员经费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2,956.6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1、一般性项目支出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2.1、政策性配套支出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2.2、事业发展专项支出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2.3、其他资本性支出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8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2.4、偿债支出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2.5、其他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3,841.8 </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3,841.8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tbl>
      <w:tblPr>
        <w:tblW w:w="12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97"/>
        <w:gridCol w:w="993"/>
        <w:gridCol w:w="994"/>
        <w:gridCol w:w="994"/>
        <w:gridCol w:w="1414"/>
        <w:gridCol w:w="1498"/>
        <w:gridCol w:w="1397"/>
        <w:gridCol w:w="1414"/>
        <w:gridCol w:w="1162"/>
        <w:gridCol w:w="1498"/>
        <w:gridCol w:w="1246"/>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755" w:type="dxa"/>
            <w:tcBorders>
              <w:top w:val="nil"/>
              <w:left w:val="nil"/>
              <w:bottom w:val="nil"/>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96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88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45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45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2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90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2220" w:type="dxa"/>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2021年一般公共预算支出情况表(按功能分类)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5"/>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部门名称:内乡县文化广电新闻出版局</w:t>
            </w: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175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96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1755"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60"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755" w:type="dxa"/>
            <w:tcBorders>
              <w:top w:val="nil"/>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4,809.8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1,625.2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1,359.8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37.5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3,184.6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941.7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内乡县文化广电和旅游局</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2,540.4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142.0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26.4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2,144.1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393.2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227.9 </w:t>
            </w: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142.0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26.4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1,585.3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1,585.3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56.4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155.8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155.8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155.8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旅游宣传</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其他文化和旅游支出</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299.0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299.0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77.0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内乡县图书馆</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130.9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80.6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47.0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35.0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80.6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图书馆</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其他文化和旅游支出</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内乡县文化馆</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240.1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162.6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71.5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71.5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162.6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艺术表演团体</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内乡县文物管理办公室</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83.6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51.6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49.8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行政运行（文物）</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51.6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51.6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49.8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一般行政管理事务（文物）</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内乡县人民剧院管理委员会</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内乡县宛梆剧团</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207.2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艺术表演团体</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南阳宛梆艺术中等职业学校</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31.4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中等职业教育</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艺术表演团体</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内乡县菊谭公园管理处</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221.0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一般行政管理事务（文化）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内乡县县衙博物馆</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1,290.0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行政运行（文化）</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行政运行（文物）</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04</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58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7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博物馆</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88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nil"/>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tbl>
      <w:tblPr>
        <w:tblW w:w="14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32"/>
        <w:gridCol w:w="969"/>
        <w:gridCol w:w="1430"/>
        <w:gridCol w:w="2147"/>
        <w:gridCol w:w="1350"/>
        <w:gridCol w:w="1350"/>
        <w:gridCol w:w="1335"/>
        <w:gridCol w:w="1118"/>
        <w:gridCol w:w="1112"/>
        <w:gridCol w:w="1118"/>
        <w:gridCol w:w="971"/>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05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44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235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88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79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21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87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21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2025" w:type="dxa"/>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4265" w:type="dxa"/>
            <w:gridSpan w:val="12"/>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2021年一般公共预算基本支出情况表（按经济分类)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4"/>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部门名称:内乡县文化广电新闻出版局</w:t>
            </w: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部门预算经济分类</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科目名称</w:t>
            </w:r>
          </w:p>
        </w:tc>
        <w:tc>
          <w:tcPr>
            <w:tcW w:w="0" w:type="auto"/>
            <w:vMerge w:val="restart"/>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50" w:type="dxa"/>
            <w:gridSpan w:val="2"/>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一般公共预算</w:t>
            </w:r>
          </w:p>
        </w:tc>
        <w:tc>
          <w:tcPr>
            <w:tcW w:w="12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政府性基金</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专户安排</w:t>
            </w:r>
          </w:p>
        </w:tc>
        <w:tc>
          <w:tcPr>
            <w:tcW w:w="12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本级财力补助下级支出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部门财政性资金结转</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提前下达转移支付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1,675.2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1,625.2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885.2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内乡县文化广电和旅游局</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396.3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81.6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81.6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81.6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公务通讯补助（行政）</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物业补助（行政）</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年终一次性奖金</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奖励性绩效工资</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目标考核奖（年度）</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失业保险（事业）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办公费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印刷费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0.7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邮电费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邮电费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差旅费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维修(护)费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公务接待费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劳务费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公务用车运行维护费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公务用车运行维护费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其他交通费用</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公务交通补贴</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物业补助（行政）</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内乡县图书馆</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83.9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奖励性绩效工资</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失业保险（事业）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办公费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差旅费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公务接待费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内乡县文化馆</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奖励性绩效工资</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13.7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失业保险（事业）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办公费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差旅费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维修(护)费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公务接待费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3.9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生活补助</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遗属补助(事业)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内乡县文物管理办公室</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51.7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奖励性绩效工资</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女工生育保险（事业）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失业保险（事业）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办公费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0.8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邮电费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在职人员公用经费</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工会经费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工会经费（事业）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福利费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福利费（事业）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0.6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1.1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0.5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内乡县人民剧院管理委员会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其他工资福利支出</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财政补助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65.2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内乡县宛梆剧团</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其他工资福利支出</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财政补助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27.2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南阳宛梆艺术中等职业学校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其他工资福利支出</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财政补助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21.4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其他工资福利支出</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内乡县菊谭公园管理处</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71.0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其他工资福利支出</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财政补助</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其他工资福利支出</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内乡县县衙博物馆</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740.0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基本工资</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222.7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222.7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59.8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59.8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津贴补贴</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44.6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44.6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目标考核奖（事业）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27.1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奖金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奖励性绩效工资</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养老保险（事业）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46.4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46.4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职业年金缴费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职业年金（事业）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18.9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18.9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医疗保险（事业）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工伤保险（事业）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其他社会保障缴费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失业保险（事业）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住房公积金</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住房公积金（事业）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33.6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33.6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其他工资福利支出</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在职人员经费（事业）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197.7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197.7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退休人员精神文明奖（事业）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物业补助（事业）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5.1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退休费</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退休人员健康休养费（事业）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6.4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6.4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生活补助</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遗属补助(事业)</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2.3 </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b/>
          <w:bCs/>
          <w:sz w:val="18"/>
          <w:szCs w:val="18"/>
        </w:rPr>
      </w:pPr>
    </w:p>
    <w:tbl>
      <w:tblPr>
        <w:tblW w:w="15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18"/>
        <w:gridCol w:w="946"/>
        <w:gridCol w:w="946"/>
        <w:gridCol w:w="946"/>
        <w:gridCol w:w="946"/>
        <w:gridCol w:w="1391"/>
        <w:gridCol w:w="1418"/>
        <w:gridCol w:w="1190"/>
        <w:gridCol w:w="1190"/>
        <w:gridCol w:w="1190"/>
        <w:gridCol w:w="1418"/>
        <w:gridCol w:w="946"/>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20"/>
                <w:szCs w:val="20"/>
                <w:u w:val="none"/>
              </w:rPr>
            </w:pPr>
          </w:p>
        </w:tc>
        <w:tc>
          <w:tcPr>
            <w:tcW w:w="58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20"/>
                <w:szCs w:val="20"/>
                <w:u w:val="none"/>
              </w:rPr>
            </w:pPr>
          </w:p>
        </w:tc>
        <w:tc>
          <w:tcPr>
            <w:tcW w:w="78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20"/>
                <w:szCs w:val="20"/>
                <w:u w:val="none"/>
              </w:rPr>
            </w:pPr>
          </w:p>
        </w:tc>
        <w:tc>
          <w:tcPr>
            <w:tcW w:w="1755" w:type="dxa"/>
            <w:tcBorders>
              <w:top w:val="nil"/>
              <w:left w:val="nil"/>
              <w:bottom w:val="nil"/>
              <w:right w:val="nil"/>
            </w:tcBorders>
            <w:shd w:val="clear"/>
            <w:vAlign w:val="center"/>
          </w:tcPr>
          <w:p>
            <w:pPr>
              <w:keepNext w:val="0"/>
              <w:keepLines w:val="0"/>
              <w:pageBreakBefore w:val="0"/>
              <w:kinsoku/>
              <w:wordWrap/>
              <w:overflowPunct/>
              <w:topLinePunct w:val="0"/>
              <w:autoSpaceDE/>
              <w:autoSpaceDN/>
              <w:bidi w:val="0"/>
              <w:adjustRightInd/>
              <w:snapToGrid/>
              <w:spacing w:line="480" w:lineRule="exact"/>
              <w:jc w:val="left"/>
              <w:rPr>
                <w:rFonts w:hint="eastAsia" w:ascii="宋体" w:hAnsi="宋体" w:eastAsia="宋体" w:cs="宋体"/>
                <w:i w:val="0"/>
                <w:iCs w:val="0"/>
                <w:color w:val="000000"/>
                <w:sz w:val="20"/>
                <w:szCs w:val="20"/>
                <w:u w:val="none"/>
              </w:rPr>
            </w:pPr>
          </w:p>
        </w:tc>
        <w:tc>
          <w:tcPr>
            <w:tcW w:w="153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20"/>
                <w:szCs w:val="20"/>
                <w:u w:val="none"/>
              </w:rPr>
            </w:pPr>
          </w:p>
        </w:tc>
        <w:tc>
          <w:tcPr>
            <w:tcW w:w="2610" w:type="dxa"/>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3"/>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2021年政府性基金支出情况表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5"/>
            <w:tcBorders>
              <w:top w:val="nil"/>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内乡县文化广电新闻出版局</w:t>
            </w:r>
          </w:p>
        </w:tc>
        <w:tc>
          <w:tcPr>
            <w:tcW w:w="0" w:type="auto"/>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宋体" w:hAnsi="宋体" w:eastAsia="宋体" w:cs="宋体"/>
                <w:i w:val="0"/>
                <w:iCs w:val="0"/>
                <w:color w:val="000000"/>
                <w:sz w:val="18"/>
                <w:szCs w:val="18"/>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单位代码</w:t>
            </w:r>
          </w:p>
        </w:tc>
        <w:tc>
          <w:tcPr>
            <w:tcW w:w="17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15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single" w:color="000000" w:sz="4" w:space="0"/>
              <w:left w:val="nil"/>
              <w:bottom w:val="single" w:color="000000" w:sz="4" w:space="0"/>
              <w:right w:val="nil"/>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78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480" w:lineRule="exac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13"/>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bdr w:val="none" w:color="auto" w:sz="0" w:space="0"/>
                <w:lang w:val="en-US" w:eastAsia="zh-CN" w:bidi="ar"/>
              </w:rPr>
              <w:t>内乡县文化广电和旅游局2021年无使用政府性基金预算拨款安排的支出。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18"/>
          <w:szCs w:val="18"/>
        </w:rPr>
      </w:pPr>
    </w:p>
    <w:tbl>
      <w:tblPr>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60"/>
        <w:gridCol w:w="1032"/>
        <w:gridCol w:w="1032"/>
        <w:gridCol w:w="1032"/>
        <w:gridCol w:w="1032"/>
        <w:gridCol w:w="1560"/>
        <w:gridCol w:w="1305"/>
        <w:gridCol w:w="1305"/>
        <w:gridCol w:w="1305"/>
        <w:gridCol w:w="1560"/>
        <w:gridCol w:w="130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115" w:type="dxa"/>
            <w:gridSpan w:val="5"/>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本部门无国有资本经营预算支出数据</w:t>
            </w:r>
          </w:p>
        </w:tc>
        <w:tc>
          <w:tcPr>
            <w:tcW w:w="130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1305" w:type="dxa"/>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2760"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2021年国有资本经营支出情况表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部门名称：内乡县文化广电新闻出版局</w:t>
            </w: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noWrap/>
            <w:vAlign w:val="center"/>
          </w:tcPr>
          <w:p>
            <w:pPr>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科目编码</w:t>
            </w:r>
          </w:p>
        </w:tc>
        <w:tc>
          <w:tcPr>
            <w:tcW w:w="0" w:type="auto"/>
            <w:tcBorders>
              <w:top w:val="nil"/>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175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单位（科目名称）</w:t>
            </w:r>
          </w:p>
        </w:tc>
        <w:tc>
          <w:tcPr>
            <w:tcW w:w="153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总计</w:t>
            </w:r>
          </w:p>
        </w:tc>
        <w:tc>
          <w:tcPr>
            <w:tcW w:w="0" w:type="auto"/>
            <w:tcBorders>
              <w:top w:val="single" w:color="000000" w:sz="4" w:space="0"/>
              <w:left w:val="nil"/>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基本支出</w:t>
            </w: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项目支出</w:t>
            </w:r>
          </w:p>
        </w:tc>
        <w:tc>
          <w:tcPr>
            <w:tcW w:w="0" w:type="auto"/>
            <w:tcBorders>
              <w:top w:val="nil"/>
              <w:left w:val="nil"/>
              <w:bottom w:val="single" w:color="000000" w:sz="4" w:space="0"/>
              <w:right w:val="nil"/>
            </w:tcBorders>
            <w:shd w:val="clear"/>
            <w:noWrap/>
            <w:vAlign w:val="center"/>
          </w:tcPr>
          <w:p>
            <w:pPr>
              <w:jc w:val="both"/>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noWrap/>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1755"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3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0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行政人员经费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事业人员经费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公用经费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小计</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一般性项目</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18"/>
          <w:szCs w:val="18"/>
        </w:rPr>
      </w:pPr>
    </w:p>
    <w:tbl>
      <w:tblPr>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935"/>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93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612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部门名称:内乡县文化广电新闻出版局</w:t>
            </w: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      目</w:t>
            </w:r>
          </w:p>
        </w:tc>
        <w:tc>
          <w:tcPr>
            <w:tcW w:w="61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2021年“三公”经费预算数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1、因公出国（境）费用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2、公务接待费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3、公务用车费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其中：（1）公务用车运行维护费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（2）公务用车购置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2" w:hRule="atLeast"/>
        </w:trPr>
        <w:tc>
          <w:tcPr>
            <w:tcW w:w="14055" w:type="dxa"/>
            <w:gridSpan w:val="2"/>
            <w:tcBorders>
              <w:top w:val="single" w:color="000000" w:sz="4" w:space="0"/>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18"/>
          <w:szCs w:val="18"/>
        </w:rPr>
      </w:pPr>
    </w:p>
    <w:tbl>
      <w:tblPr>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06"/>
        <w:gridCol w:w="2085"/>
        <w:gridCol w:w="3795"/>
        <w:gridCol w:w="1346"/>
        <w:gridCol w:w="6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106"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黑体" w:hAnsi="宋体" w:eastAsia="黑体" w:cs="黑体"/>
                <w:b/>
                <w:bCs/>
                <w:i w:val="0"/>
                <w:iCs w:val="0"/>
                <w:color w:val="000000"/>
                <w:sz w:val="24"/>
                <w:szCs w:val="24"/>
                <w:u w:val="none"/>
              </w:rPr>
            </w:pPr>
          </w:p>
        </w:tc>
        <w:tc>
          <w:tcPr>
            <w:tcW w:w="208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黑体" w:hAnsi="宋体" w:eastAsia="黑体" w:cs="黑体"/>
                <w:b/>
                <w:bCs/>
                <w:i w:val="0"/>
                <w:iCs w:val="0"/>
                <w:color w:val="000000"/>
                <w:sz w:val="36"/>
                <w:szCs w:val="36"/>
                <w:u w:val="none"/>
              </w:rPr>
            </w:pPr>
          </w:p>
        </w:tc>
        <w:tc>
          <w:tcPr>
            <w:tcW w:w="292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黑体" w:hAnsi="宋体" w:eastAsia="黑体" w:cs="黑体"/>
                <w:b/>
                <w:bCs/>
                <w:i w:val="0"/>
                <w:iCs w:val="0"/>
                <w:color w:val="000000"/>
                <w:sz w:val="36"/>
                <w:szCs w:val="36"/>
                <w:u w:val="none"/>
              </w:rPr>
            </w:pPr>
          </w:p>
        </w:tc>
        <w:tc>
          <w:tcPr>
            <w:tcW w:w="124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黑体" w:hAnsi="宋体" w:eastAsia="黑体" w:cs="黑体"/>
                <w:b/>
                <w:bCs/>
                <w:i w:val="0"/>
                <w:iCs w:val="0"/>
                <w:color w:val="000000"/>
                <w:sz w:val="36"/>
                <w:szCs w:val="36"/>
                <w:u w:val="none"/>
              </w:rPr>
            </w:pPr>
          </w:p>
        </w:tc>
        <w:tc>
          <w:tcPr>
            <w:tcW w:w="6560" w:type="dxa"/>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gridSpan w:val="5"/>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b/>
                <w:bCs/>
                <w:i w:val="0"/>
                <w:iCs w:val="0"/>
                <w:color w:val="000000"/>
                <w:sz w:val="36"/>
                <w:szCs w:val="36"/>
                <w:u w:val="none"/>
              </w:rPr>
            </w:pPr>
            <w:r>
              <w:rPr>
                <w:rFonts w:hint="default" w:ascii="黑体" w:hAnsi="宋体" w:eastAsia="黑体" w:cs="黑体"/>
                <w:b/>
                <w:bCs/>
                <w:i w:val="0"/>
                <w:iCs w:val="0"/>
                <w:color w:val="000000"/>
                <w:kern w:val="0"/>
                <w:sz w:val="36"/>
                <w:szCs w:val="36"/>
                <w:u w:val="none"/>
                <w:bdr w:val="none" w:color="auto" w:sz="0" w:space="0"/>
                <w:lang w:val="en-US" w:eastAsia="zh-CN" w:bidi="ar"/>
              </w:rPr>
              <w:t>县级部门（单位）整体支出绩效目标申报表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0" w:type="auto"/>
            <w:gridSpan w:val="5"/>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b/>
                <w:bCs/>
                <w:i w:val="0"/>
                <w:iCs w:val="0"/>
                <w:color w:val="000000"/>
                <w:sz w:val="36"/>
                <w:szCs w:val="36"/>
                <w:u w:val="none"/>
              </w:rPr>
            </w:pPr>
            <w:r>
              <w:rPr>
                <w:rFonts w:hint="default" w:ascii="黑体" w:hAnsi="宋体" w:eastAsia="黑体" w:cs="黑体"/>
                <w:b/>
                <w:bCs/>
                <w:i w:val="0"/>
                <w:iCs w:val="0"/>
                <w:color w:val="000000"/>
                <w:kern w:val="0"/>
                <w:sz w:val="36"/>
                <w:szCs w:val="36"/>
                <w:u w:val="none"/>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内乡县文化广电和旅游局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0" w:hRule="atLeast"/>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年度履职目标</w:t>
            </w:r>
          </w:p>
        </w:tc>
        <w:tc>
          <w:tcPr>
            <w:tcW w:w="12815" w:type="dxa"/>
            <w:gridSpan w:val="4"/>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以习近平新时代中国特色社会主义思想为指导，认真落实习近平总 书记视察调研河南讲话精神，以提供更多优质的文化旅游产品和服务为目标，以庆祝新中国 成立70周年为主线，以文旅融合为牵引，以党的建设高质量推动文化和旅游发展高质量，扎 实开展“不忘初心、牢记使命”主题教育，突出抓好重点工作任务，有力推动了全县文化和 旅游工作.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年度主要任务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任务名称</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三馆一院地下停车场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文化市场管理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任务3</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文化旅游业务费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任务4</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综合执法经费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任务5</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公社放映员生活补贴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任务6</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贫困村文化活动经费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任务7</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非贫困村文化活动经费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任务8</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乡镇村宣传文化管理员补贴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任务9</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群众广场文化活动（含双节）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任务10</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“十一”假期旅游宣传营销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任务11</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“三区”文化人才专项2021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任务12</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罚没收入安排的支出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任务13</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乍曲镇石头村游客中心移交前简装修工程经费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任务14</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非贫困村文化中心设备器材购置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任务15</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吴垭石头村旅游民宿开发服务（木尧团队）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任务16</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乡镇文化站免费开放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任务17</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图书馆房租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任务18</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图书购置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任务19</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任务20</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图书馆免费开放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任务21</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贫困村19年“舞台艺术送农民”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任务22</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文化馆房租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任务23</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曲艺表演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任务24</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文化馆免费开放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任务25</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任务26</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任务27</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“中共南阳地委、专员公署旧址”房屋修缮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任务28</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文化惠民演出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任务29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理论宣讲进基层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任务30</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国有资源有偿使用安排的支出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任务31</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任务32</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任务33</w:t>
            </w:r>
          </w:p>
        </w:tc>
        <w:tc>
          <w:tcPr>
            <w:tcW w:w="107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旅游宣传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预算情况</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部门预算总额（万元）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4912.8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1、资金来源：（1）财政资金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4809.8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（2）其他资金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2、资金结构：（1）基本支出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（2）项目支出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1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三级指标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指标值</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指标说明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投入管理指标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工作目标管理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年度履职目标相关性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相关</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工作任务科学性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科学</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绩效指标合理性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合理</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工作任务、预算项目绩效指标设置是否准确反映部门绩效完成情况；2．工作任务化、预算项目绩效指标是否清晰、细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预算和财务管理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预算编制完整性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专项资金细化率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预算调整率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调整率=（预算调整数一年初预算数）／年初预算数×lOO%。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结转结余变动率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“三公经费”控制率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政府采购执行率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政府采购执行率=（实际政府采购金额／政府采购预算数）×lOO%。政府采购预算：采购机关根据事业发展计划和行政任务编制的、并经过规定程序批准的年度政府采购计划。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决算真实性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真实</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资金使用合规性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合规</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管理制度健全性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健全</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预算决算信息公开性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资产管理规范性</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规范</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绩效监控完成率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绩效自评完成率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部门绩效评价完成率</w:t>
            </w:r>
          </w:p>
        </w:tc>
        <w:tc>
          <w:tcPr>
            <w:tcW w:w="0" w:type="auto"/>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4"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评价结果应用率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绩效监控、单位自评、部门绩效评价、财政重点绩效评价结果应用情况。                                                               评价结果应用率=评价提出的意见建议采纳数／提出的意见建议总数*lOO%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产出指标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履职目标实现</w:t>
            </w:r>
          </w:p>
        </w:tc>
        <w:tc>
          <w:tcPr>
            <w:tcW w:w="2925" w:type="dxa"/>
            <w:tcBorders>
              <w:top w:val="single" w:color="000000" w:sz="4" w:space="0"/>
              <w:left w:val="single" w:color="000000" w:sz="4"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重点接待任务完成率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公共服务体系稳步推进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非物质文化遗产保护工作全面加强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旅游经济发展亮点不断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文旅产业蓬勃发展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艺术创作生产日益繁荣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履职效益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促进内乡形象提升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提升</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w:t>
            </w:r>
          </w:p>
        </w:tc>
        <w:tc>
          <w:tcPr>
            <w:tcW w:w="6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18"/>
          <w:szCs w:val="18"/>
        </w:rPr>
      </w:pPr>
    </w:p>
    <w:tbl>
      <w:tblPr>
        <w:tblW w:w="118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76"/>
        <w:gridCol w:w="2117"/>
        <w:gridCol w:w="1463"/>
        <w:gridCol w:w="1463"/>
        <w:gridCol w:w="1026"/>
        <w:gridCol w:w="1900"/>
        <w:gridCol w:w="1333"/>
        <w:gridCol w:w="1327"/>
        <w:gridCol w:w="1201"/>
        <w:gridCol w:w="1026"/>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iCs w:val="0"/>
                <w:color w:val="000000"/>
                <w:sz w:val="22"/>
                <w:szCs w:val="22"/>
                <w:u w:val="none"/>
              </w:rPr>
            </w:pPr>
          </w:p>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iCs w:val="0"/>
                <w:color w:val="000000"/>
                <w:sz w:val="22"/>
                <w:szCs w:val="22"/>
                <w:u w:val="none"/>
              </w:rPr>
            </w:pPr>
          </w:p>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iCs w:val="0"/>
                <w:color w:val="000000"/>
                <w:sz w:val="22"/>
                <w:szCs w:val="22"/>
                <w:u w:val="none"/>
              </w:rPr>
            </w:pPr>
          </w:p>
        </w:tc>
        <w:tc>
          <w:tcPr>
            <w:tcW w:w="213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2"/>
                <w:szCs w:val="22"/>
                <w:u w:val="none"/>
              </w:rPr>
            </w:pPr>
          </w:p>
        </w:tc>
        <w:tc>
          <w:tcPr>
            <w:tcW w:w="79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2"/>
                <w:szCs w:val="22"/>
                <w:u w:val="none"/>
              </w:rPr>
            </w:pPr>
          </w:p>
        </w:tc>
        <w:tc>
          <w:tcPr>
            <w:tcW w:w="60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2"/>
                <w:szCs w:val="22"/>
                <w:u w:val="none"/>
              </w:rPr>
            </w:pPr>
          </w:p>
        </w:tc>
        <w:tc>
          <w:tcPr>
            <w:tcW w:w="150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2"/>
                <w:szCs w:val="22"/>
                <w:u w:val="none"/>
              </w:rPr>
            </w:pPr>
          </w:p>
        </w:tc>
        <w:tc>
          <w:tcPr>
            <w:tcW w:w="97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2"/>
                <w:szCs w:val="22"/>
                <w:u w:val="none"/>
              </w:rPr>
            </w:pPr>
          </w:p>
        </w:tc>
        <w:tc>
          <w:tcPr>
            <w:tcW w:w="1335"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sz w:val="22"/>
                <w:szCs w:val="22"/>
                <w:u w:val="none"/>
              </w:rPr>
            </w:pPr>
          </w:p>
        </w:tc>
        <w:tc>
          <w:tcPr>
            <w:tcW w:w="1950" w:type="dxa"/>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0" w:type="auto"/>
            <w:gridSpan w:val="11"/>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2021 年度县级部门预算项目绩效目标汇总表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单位编码（项目编码）</w:t>
            </w:r>
          </w:p>
        </w:tc>
        <w:tc>
          <w:tcPr>
            <w:tcW w:w="21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项目单位 （项目名称）</w:t>
            </w:r>
          </w:p>
        </w:tc>
        <w:tc>
          <w:tcPr>
            <w:tcW w:w="238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项目金额（万元）</w:t>
            </w:r>
          </w:p>
        </w:tc>
        <w:tc>
          <w:tcPr>
            <w:tcW w:w="672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238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22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资金总额</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财政性资金</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指标值</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指标值</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三馆一院地下停车场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1,528.9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1,528.9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建筑面积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6500平米</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建筑设计使用年限</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按照国有资产有关规定</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职工满意度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文化市场管理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文旅事业发展水平</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机关人员满意度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文化旅游业务费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文旅事业发展水平</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机关人员满意度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综合执法经费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文旅事业发展水平</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机关人员满意度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公社放映员生活补贴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公社电影放映员人数</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30人</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丰富群众业余文化生活</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公社放映员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贫困村文化活动经费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贫困村数量</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97个</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有利于提高全民文化素质，推 动文化进步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基层群众满意度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非贫困村文化活动经费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非贫困村数量</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191个</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有利于提高全民文化素质，推 动文化进步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基层群众满意度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乡镇村宣传文化管理员补贴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文化管理员补贴人数</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312人</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提高群众文化生活水平</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群众广场文化活动（含双节）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参加活动人员出勤率</w:t>
            </w:r>
          </w:p>
        </w:tc>
        <w:tc>
          <w:tcPr>
            <w:tcW w:w="0" w:type="auto"/>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提高文化和旅游知名度</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“十一”假期旅游宣传营销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文化旅游宣传周</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55天</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带动景区周边旅游综合收入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增长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游客满意度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“三区”文化人才专项2021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提高三区人才综合素质</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丰富群众文化生活、提升幸福感</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三区人才及群众满意度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罚没收入安排的支出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符合各项规定支出</w:t>
            </w:r>
          </w:p>
        </w:tc>
        <w:tc>
          <w:tcPr>
            <w:tcW w:w="0" w:type="auto"/>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符合</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文旅事业发展水平</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干部职工满意度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乍曲镇石头村游客中心移交前简装修工程经费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前期研学项目、游客中心室内、室外部分</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600平米</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促进旅游产业发展</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促进</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游客满意度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非贫困村文化中心设备器材购置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设备购置数量</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5个标段</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设备使用年限</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根据国有资 产管理办法 使用</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吴垭石头村旅游民宿开发服务（木尧团队）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对旅游产业的影响</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推动民宿产业发展</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推动</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138001</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乡镇文化站免费开放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免费开放站数</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16个</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有利于提高全民文化素质，推 动文化进步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读者满意度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138002</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房租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租金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30万</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所租房屋用于免费开放，一切为了读者，开办各项业务工作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读者满意度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138002</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图书购置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购书成本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5万</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增加图书馆馆藏，丰富人们阅读范围</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读者满意度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138002</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提升全民素质</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138002</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免费开放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提升全民素质</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读者满意度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138003</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贫困村19年“舞台艺术送农民”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贫困村数量</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97个</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增强广大群众脱贫致富的勇气和信心，大力弘扬社会主义核心价值观，脱贫攻坚工作提供精神动力和文化支撑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增强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138003</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房租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租金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30万</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所租房屋用于免费开放，一切为了读者，开办各项业务工作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138003</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曲艺表演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提高广大人民群众思想道德和科学文化素质，又提供了文化娱乐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138003</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免费开放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提高广大人民群众思想道德和科学文化素质，又提供了文化娱乐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138003</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文化活动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资金使用及时性</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提升全民素质</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138004</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开展文物保护专项行动</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提升当地文化传承</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明显提升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138004</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“中共南阳地委、专员公署旧址”房屋修缮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旧址维修面积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500平米</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提高当地群众爱国情谊</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138006</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文化惠民演出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项目可以实施的计划数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300场</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戏曲文化得以传播，提高了人民群众精神文化生活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理论宣讲进基层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开展爱国宣讲活动场次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6次</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提高基层群众爱国情怀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138008</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国有资源有偿使用安排的支出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园内设施改造、维修施工质量优良率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园绿化安全隐患绿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下降</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游园群众满意度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138009</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行政运行费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拨付资金到位率</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促进县衙稳步健康发展</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促进</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工作人员满意度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138009</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文物保护专项资金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文物维修保护展示面积（平方米）</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40000</w:t>
            </w:r>
            <w:bookmarkStart w:id="0" w:name="_GoBack"/>
            <w:bookmarkEnd w:id="0"/>
            <w:r>
              <w:rPr>
                <w:rFonts w:hint="eastAsia" w:ascii="宋体" w:hAnsi="宋体" w:eastAsia="宋体" w:cs="宋体"/>
                <w:i w:val="0"/>
                <w:iCs w:val="0"/>
                <w:color w:val="000000"/>
                <w:kern w:val="0"/>
                <w:sz w:val="18"/>
                <w:szCs w:val="18"/>
                <w:u w:val="none"/>
                <w:bdr w:val="none" w:color="auto" w:sz="0" w:space="0"/>
                <w:lang w:val="en-US" w:eastAsia="zh-CN" w:bidi="ar"/>
              </w:rPr>
              <w:t>平方米</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提升县衙知名度，扩大影响力</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社会公众对文物保护满意度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138009</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旅游宣传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宣传总成本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60万</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促进县衙稳步健康发展</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促进</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≥98%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
          <w:bCs/>
          <w:sz w:val="18"/>
          <w:szCs w:val="18"/>
        </w:rPr>
      </w:pPr>
    </w:p>
    <w:sectPr>
      <w:pgSz w:w="16838" w:h="11906" w:orient="landscape"/>
      <w:pgMar w:top="720" w:right="720" w:bottom="720" w:left="720" w:header="851" w:footer="1417" w:gutter="0"/>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黑体">
    <w:altName w:val="宋体"/>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330474"/>
    <w:multiLevelType w:val="singleLevel"/>
    <w:tmpl w:val="E4330474"/>
    <w:lvl w:ilvl="0" w:tentative="0">
      <w:start w:val="1"/>
      <w:numFmt w:val="decimal"/>
      <w:pStyle w:val="7"/>
      <w:lvlText w:val="(%1)"/>
      <w:lvlJc w:val="left"/>
      <w:pPr>
        <w:ind w:left="425" w:hanging="425"/>
      </w:pPr>
      <w:rPr>
        <w:rFonts w:hint="default"/>
      </w:rPr>
    </w:lvl>
  </w:abstractNum>
  <w:abstractNum w:abstractNumId="1">
    <w:nsid w:val="36D4FFC0"/>
    <w:multiLevelType w:val="singleLevel"/>
    <w:tmpl w:val="36D4FFC0"/>
    <w:lvl w:ilvl="0" w:tentative="0">
      <w:start w:val="1"/>
      <w:numFmt w:val="chineseCounting"/>
      <w:pStyle w:val="4"/>
      <w:suff w:val="nothing"/>
      <w:lvlText w:val="%1、"/>
      <w:lvlJc w:val="left"/>
      <w:pPr>
        <w:ind w:left="0" w:firstLine="420"/>
      </w:pPr>
      <w:rPr>
        <w:rFonts w:hint="eastAsia"/>
      </w:rPr>
    </w:lvl>
  </w:abstractNum>
  <w:abstractNum w:abstractNumId="2">
    <w:nsid w:val="5F2EDF06"/>
    <w:multiLevelType w:val="singleLevel"/>
    <w:tmpl w:val="5F2EDF06"/>
    <w:lvl w:ilvl="0" w:tentative="0">
      <w:start w:val="1"/>
      <w:numFmt w:val="chineseCounting"/>
      <w:pStyle w:val="5"/>
      <w:suff w:val="nothing"/>
      <w:lvlText w:val="（%1）"/>
      <w:lvlJc w:val="left"/>
      <w:pPr>
        <w:ind w:left="0" w:firstLine="420"/>
      </w:pPr>
      <w:rPr>
        <w:rFonts w:hint="eastAsia"/>
      </w:rPr>
    </w:lvl>
  </w:abstractNum>
  <w:abstractNum w:abstractNumId="3">
    <w:nsid w:val="65AF9733"/>
    <w:multiLevelType w:val="singleLevel"/>
    <w:tmpl w:val="65AF9733"/>
    <w:lvl w:ilvl="0" w:tentative="0">
      <w:start w:val="1"/>
      <w:numFmt w:val="decimal"/>
      <w:pStyle w:val="10"/>
      <w:lvlText w:val="(%1)"/>
      <w:lvlJc w:val="left"/>
      <w:pPr>
        <w:ind w:left="425" w:hanging="425"/>
      </w:pPr>
      <w:rPr>
        <w:rFonts w:hint="default"/>
      </w:rPr>
    </w:lvl>
  </w:abstractNum>
  <w:abstractNum w:abstractNumId="4">
    <w:nsid w:val="7168BEB5"/>
    <w:multiLevelType w:val="singleLevel"/>
    <w:tmpl w:val="7168BEB5"/>
    <w:lvl w:ilvl="0" w:tentative="0">
      <w:start w:val="1"/>
      <w:numFmt w:val="decimal"/>
      <w:pStyle w:val="6"/>
      <w:lvlText w:val="%1."/>
      <w:lvlJc w:val="left"/>
      <w:pPr>
        <w:ind w:left="425" w:hanging="425"/>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93C84"/>
    <w:rsid w:val="008519FF"/>
    <w:rsid w:val="04045573"/>
    <w:rsid w:val="05710723"/>
    <w:rsid w:val="05BF6CDB"/>
    <w:rsid w:val="067E7535"/>
    <w:rsid w:val="07C55BD2"/>
    <w:rsid w:val="0D1E743C"/>
    <w:rsid w:val="0D70550A"/>
    <w:rsid w:val="0E5D485F"/>
    <w:rsid w:val="0EA26F41"/>
    <w:rsid w:val="0F671C66"/>
    <w:rsid w:val="103F0046"/>
    <w:rsid w:val="110148C2"/>
    <w:rsid w:val="142F7ED4"/>
    <w:rsid w:val="172510E7"/>
    <w:rsid w:val="190F6A76"/>
    <w:rsid w:val="19335052"/>
    <w:rsid w:val="19700EC1"/>
    <w:rsid w:val="1A780C2A"/>
    <w:rsid w:val="1AB1231E"/>
    <w:rsid w:val="1E8F04A1"/>
    <w:rsid w:val="1F66250C"/>
    <w:rsid w:val="21914B2F"/>
    <w:rsid w:val="22F55B80"/>
    <w:rsid w:val="26DA7DCD"/>
    <w:rsid w:val="27F76250"/>
    <w:rsid w:val="28653CBB"/>
    <w:rsid w:val="2CFA584F"/>
    <w:rsid w:val="2D876859"/>
    <w:rsid w:val="30FD14A4"/>
    <w:rsid w:val="32613E4E"/>
    <w:rsid w:val="32680A05"/>
    <w:rsid w:val="32D92005"/>
    <w:rsid w:val="35FB2043"/>
    <w:rsid w:val="37EB3369"/>
    <w:rsid w:val="383A334C"/>
    <w:rsid w:val="386A17BD"/>
    <w:rsid w:val="3A2761E5"/>
    <w:rsid w:val="3B922E6D"/>
    <w:rsid w:val="3C102BE4"/>
    <w:rsid w:val="3C613BA0"/>
    <w:rsid w:val="3EFA342F"/>
    <w:rsid w:val="3F0B66A8"/>
    <w:rsid w:val="3F2B7CE0"/>
    <w:rsid w:val="3F871723"/>
    <w:rsid w:val="41F630FF"/>
    <w:rsid w:val="42BE7AD9"/>
    <w:rsid w:val="43490116"/>
    <w:rsid w:val="44FB7094"/>
    <w:rsid w:val="45E5301F"/>
    <w:rsid w:val="47302021"/>
    <w:rsid w:val="496F44F3"/>
    <w:rsid w:val="49B63AB7"/>
    <w:rsid w:val="49BD1F47"/>
    <w:rsid w:val="4B335A30"/>
    <w:rsid w:val="4B8748ED"/>
    <w:rsid w:val="4F3C09C0"/>
    <w:rsid w:val="51470C94"/>
    <w:rsid w:val="527436C7"/>
    <w:rsid w:val="54EA332F"/>
    <w:rsid w:val="55B80BA0"/>
    <w:rsid w:val="59C54701"/>
    <w:rsid w:val="59CF73E8"/>
    <w:rsid w:val="5A793C84"/>
    <w:rsid w:val="5C045BB9"/>
    <w:rsid w:val="5D644EFD"/>
    <w:rsid w:val="5F943CAF"/>
    <w:rsid w:val="60CC0615"/>
    <w:rsid w:val="624A3E13"/>
    <w:rsid w:val="68047FB4"/>
    <w:rsid w:val="69E53027"/>
    <w:rsid w:val="6BE53495"/>
    <w:rsid w:val="6DF83D67"/>
    <w:rsid w:val="6E863116"/>
    <w:rsid w:val="702C52AD"/>
    <w:rsid w:val="70B86466"/>
    <w:rsid w:val="72FE2DCE"/>
    <w:rsid w:val="73B87FAA"/>
    <w:rsid w:val="73FF12C2"/>
    <w:rsid w:val="77012940"/>
    <w:rsid w:val="79C254E0"/>
    <w:rsid w:val="7A4329C9"/>
    <w:rsid w:val="7BCA631C"/>
    <w:rsid w:val="7DF96169"/>
    <w:rsid w:val="7E2B18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50" w:firstLineChars="200"/>
      <w:jc w:val="both"/>
    </w:pPr>
    <w:rPr>
      <w:rFonts w:ascii="仿宋" w:hAnsi="仿宋" w:eastAsia="仿宋" w:cs="仿宋"/>
      <w:kern w:val="2"/>
      <w:sz w:val="32"/>
      <w:szCs w:val="32"/>
      <w:lang w:val="en-US" w:eastAsia="zh-CN" w:bidi="ar-SA"/>
    </w:rPr>
  </w:style>
  <w:style w:type="paragraph" w:styleId="2">
    <w:name w:val="heading 1"/>
    <w:basedOn w:val="3"/>
    <w:next w:val="1"/>
    <w:qFormat/>
    <w:uiPriority w:val="0"/>
    <w:pPr>
      <w:keepNext/>
      <w:keepLines/>
      <w:snapToGrid w:val="0"/>
      <w:spacing w:beforeLines="0" w:beforeAutospacing="0" w:afterLines="0" w:afterAutospacing="0" w:line="560" w:lineRule="exact"/>
      <w:ind w:firstLine="0" w:firstLineChars="0"/>
      <w:jc w:val="center"/>
      <w:outlineLvl w:val="0"/>
    </w:pPr>
    <w:rPr>
      <w:rFonts w:ascii="Arial" w:hAnsi="Arial" w:eastAsia="方正小标宋_GBK"/>
      <w:kern w:val="0"/>
      <w:sz w:val="44"/>
    </w:rPr>
  </w:style>
  <w:style w:type="paragraph" w:styleId="4">
    <w:name w:val="heading 2"/>
    <w:basedOn w:val="1"/>
    <w:next w:val="1"/>
    <w:semiHidden/>
    <w:unhideWhenUsed/>
    <w:qFormat/>
    <w:uiPriority w:val="0"/>
    <w:pPr>
      <w:keepNext/>
      <w:keepLines/>
      <w:numPr>
        <w:ilvl w:val="0"/>
        <w:numId w:val="1"/>
      </w:numPr>
      <w:snapToGrid w:val="0"/>
      <w:spacing w:beforeLines="0" w:beforeAutospacing="0" w:afterLines="0" w:afterAutospacing="0" w:line="560" w:lineRule="exact"/>
      <w:outlineLvl w:val="1"/>
    </w:pPr>
    <w:rPr>
      <w:rFonts w:ascii="Arial" w:hAnsi="Arial" w:eastAsia="黑体"/>
    </w:rPr>
  </w:style>
  <w:style w:type="paragraph" w:styleId="5">
    <w:name w:val="heading 3"/>
    <w:basedOn w:val="4"/>
    <w:next w:val="1"/>
    <w:semiHidden/>
    <w:unhideWhenUsed/>
    <w:qFormat/>
    <w:uiPriority w:val="0"/>
    <w:pPr>
      <w:keepNext/>
      <w:keepLines/>
      <w:numPr>
        <w:numId w:val="2"/>
      </w:numPr>
      <w:snapToGrid w:val="0"/>
      <w:spacing w:beforeLines="0" w:beforeAutospacing="0" w:afterLines="0" w:afterAutospacing="0" w:line="560" w:lineRule="exact"/>
      <w:outlineLvl w:val="2"/>
    </w:pPr>
    <w:rPr>
      <w:rFonts w:ascii="Arial" w:hAnsi="Arial" w:eastAsia="楷体"/>
      <w:b/>
    </w:rPr>
  </w:style>
  <w:style w:type="paragraph" w:styleId="6">
    <w:name w:val="heading 4"/>
    <w:basedOn w:val="1"/>
    <w:next w:val="1"/>
    <w:semiHidden/>
    <w:unhideWhenUsed/>
    <w:qFormat/>
    <w:uiPriority w:val="0"/>
    <w:pPr>
      <w:keepNext/>
      <w:keepLines/>
      <w:numPr>
        <w:ilvl w:val="0"/>
        <w:numId w:val="3"/>
      </w:numPr>
      <w:snapToGrid/>
      <w:spacing w:beforeLines="0" w:beforeAutospacing="0" w:afterLines="0" w:afterAutospacing="0" w:line="560" w:lineRule="exact"/>
      <w:ind w:left="0"/>
      <w:outlineLvl w:val="3"/>
    </w:pPr>
    <w:rPr>
      <w:rFonts w:ascii="Arial" w:hAnsi="Arial"/>
      <w:b/>
    </w:rPr>
  </w:style>
  <w:style w:type="paragraph" w:styleId="7">
    <w:name w:val="heading 5"/>
    <w:basedOn w:val="8"/>
    <w:next w:val="1"/>
    <w:semiHidden/>
    <w:unhideWhenUsed/>
    <w:qFormat/>
    <w:uiPriority w:val="0"/>
    <w:pPr>
      <w:keepNext/>
      <w:keepLines/>
      <w:numPr>
        <w:ilvl w:val="0"/>
        <w:numId w:val="4"/>
      </w:numPr>
      <w:spacing w:beforeLines="0" w:beforeAutospacing="0" w:afterLines="0" w:afterAutospacing="0" w:line="560" w:lineRule="exact"/>
      <w:ind w:left="0" w:leftChars="0" w:firstLine="632" w:firstLineChars="200"/>
      <w:outlineLvl w:val="4"/>
    </w:p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List 4"/>
    <w:basedOn w:val="1"/>
    <w:qFormat/>
    <w:uiPriority w:val="0"/>
    <w:pPr>
      <w:ind w:left="100" w:leftChars="600" w:hanging="200" w:hangingChars="200"/>
    </w:pPr>
  </w:style>
  <w:style w:type="paragraph" w:styleId="9">
    <w:name w:val="footer"/>
    <w:basedOn w:val="1"/>
    <w:qFormat/>
    <w:uiPriority w:val="0"/>
    <w:pPr>
      <w:tabs>
        <w:tab w:val="center" w:pos="4153"/>
        <w:tab w:val="right" w:pos="8306"/>
      </w:tabs>
      <w:snapToGrid w:val="0"/>
      <w:jc w:val="left"/>
    </w:pPr>
    <w:rPr>
      <w:rFonts w:eastAsia="宋体" w:asciiTheme="minorAscii" w:hAnsiTheme="minorAscii"/>
      <w:sz w:val="28"/>
    </w:rPr>
  </w:style>
  <w:style w:type="paragraph" w:styleId="10">
    <w:name w:val="header"/>
    <w:basedOn w:val="1"/>
    <w:next w:val="7"/>
    <w:qFormat/>
    <w:uiPriority w:val="0"/>
    <w:pPr>
      <w:numPr>
        <w:ilvl w:val="0"/>
        <w:numId w:val="5"/>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eastAsia="仿宋"/>
      <w:sz w:val="32"/>
    </w:rPr>
  </w:style>
  <w:style w:type="paragraph" w:styleId="11">
    <w:name w:val="Normal (Web)"/>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3626</Words>
  <Characters>3828</Characters>
  <Lines>0</Lines>
  <Paragraphs>0</Paragraphs>
  <TotalTime>15</TotalTime>
  <ScaleCrop>false</ScaleCrop>
  <LinksUpToDate>false</LinksUpToDate>
  <CharactersWithSpaces>3877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2021-09-18T07:39:00Z</dcterms:created>
  <dc:creator>河南省内乡县文化广电新闻出版局</dc:creator>
  <cp:lastModifiedBy>Administrator</cp:lastModifiedBy>
  <dcterms:modified xsi:type="dcterms:W3CDTF">2021-09-29T09:15:57Z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2FE57F32E7BB410886CD57D823E7850C</vt:lpwstr>
  </property>
</Properties>
</file>