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b/>
          <w:bCs/>
          <w:sz w:val="30"/>
          <w:szCs w:val="30"/>
        </w:rPr>
      </w:pPr>
      <w:r>
        <w:rPr>
          <w:rFonts w:hint="eastAsia" w:ascii="黑体" w:hAnsi="黑体" w:eastAsia="黑体" w:cs="黑体"/>
          <w:b/>
          <w:bCs/>
          <w:sz w:val="30"/>
          <w:szCs w:val="30"/>
        </w:rPr>
        <w:t>内乡县十六届人大</w:t>
      </w:r>
    </w:p>
    <w:p>
      <w:pPr>
        <w:spacing w:line="520" w:lineRule="exact"/>
        <w:rPr>
          <w:rFonts w:ascii="黑体" w:hAnsi="黑体" w:eastAsia="黑体" w:cs="黑体"/>
          <w:b/>
          <w:bCs/>
          <w:sz w:val="30"/>
          <w:szCs w:val="30"/>
        </w:rPr>
      </w:pPr>
      <w:r>
        <w:rPr>
          <w:rFonts w:hint="eastAsia" w:ascii="黑体" w:hAnsi="黑体" w:eastAsia="黑体" w:cs="黑体"/>
          <w:b/>
          <w:bCs/>
          <w:sz w:val="30"/>
          <w:szCs w:val="30"/>
        </w:rPr>
        <w:t>三次会议文件十八</w:t>
      </w: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关于内乡县2022年财政预算执行情况和</w:t>
      </w:r>
    </w:p>
    <w:p>
      <w:pPr>
        <w:jc w:val="center"/>
        <w:rPr>
          <w:rFonts w:ascii="仿宋_GB2312" w:hAnsi="仿宋_GB2312" w:eastAsia="仿宋_GB2312" w:cs="仿宋_GB2312"/>
          <w:b/>
          <w:bCs/>
          <w:sz w:val="30"/>
          <w:szCs w:val="30"/>
        </w:rPr>
      </w:pPr>
      <w:r>
        <w:rPr>
          <w:rFonts w:hint="eastAsia" w:ascii="方正小标宋简体" w:hAnsi="方正小标宋简体" w:eastAsia="方正小标宋简体" w:cs="方正小标宋简体"/>
          <w:sz w:val="44"/>
          <w:szCs w:val="44"/>
        </w:rPr>
        <w:t>2023年预算草案的报告</w:t>
      </w:r>
    </w:p>
    <w:p>
      <w:pPr>
        <w:jc w:val="center"/>
        <w:rPr>
          <w:rFonts w:ascii="仿宋_GB2312" w:hAnsi="仿宋_GB2312" w:eastAsia="仿宋_GB2312" w:cs="仿宋_GB2312"/>
          <w:b/>
          <w:bCs/>
          <w:spacing w:val="-11"/>
          <w:sz w:val="32"/>
          <w:szCs w:val="32"/>
        </w:rPr>
      </w:pPr>
    </w:p>
    <w:p>
      <w:pPr>
        <w:jc w:val="center"/>
        <w:rPr>
          <w:rFonts w:ascii="楷体_GB2312" w:hAnsi="楷体_GB2312" w:eastAsia="楷体_GB2312" w:cs="楷体_GB2312"/>
          <w:spacing w:val="-11"/>
          <w:sz w:val="30"/>
          <w:szCs w:val="30"/>
        </w:rPr>
      </w:pPr>
      <w:r>
        <w:rPr>
          <w:rFonts w:hint="eastAsia" w:ascii="楷体_GB2312" w:hAnsi="楷体_GB2312" w:eastAsia="楷体_GB2312" w:cs="楷体_GB2312"/>
          <w:spacing w:val="-11"/>
          <w:sz w:val="30"/>
          <w:szCs w:val="30"/>
        </w:rPr>
        <w:t>—2023年3月27日在内乡县第十六届人民代表大会第三次会议上</w:t>
      </w:r>
    </w:p>
    <w:p>
      <w:pPr>
        <w:jc w:val="center"/>
        <w:rPr>
          <w:rFonts w:ascii="楷体_GB2312" w:hAnsi="楷体_GB2312" w:eastAsia="楷体_GB2312" w:cs="楷体_GB2312"/>
          <w:sz w:val="30"/>
          <w:szCs w:val="30"/>
        </w:rPr>
      </w:pPr>
      <w:r>
        <w:rPr>
          <w:rFonts w:hint="eastAsia" w:ascii="楷体_GB2312" w:hAnsi="楷体_GB2312" w:eastAsia="楷体_GB2312" w:cs="楷体_GB2312"/>
          <w:sz w:val="30"/>
          <w:szCs w:val="30"/>
        </w:rPr>
        <w:t>内乡县财政局局长    王存锋</w:t>
      </w:r>
    </w:p>
    <w:p>
      <w:pPr>
        <w:ind w:firstLine="640" w:firstLineChars="200"/>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受县政府委托，现将2022年预算执行情况和2023年县级预算草案提请县十六届三次人大会议审查，并请各位政协委员和其他列席人员提出意见。</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一、2022年预算执行情况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面对内外部环境变化和疫情反复带来的巨大困难，在县委的坚强领导和县人大、县政协的监督指导下，县政府团结带领全县人民，以习近平新时代中国特色社会主义思想为指导，贯彻落实习近平总书记视察南阳重要讲话重要指示精神，紧紧围绕加快建设省域副中心城市目标任务，深入推进“一二三六十”工作布局，统筹疫情防控和经济社会发展，确保了各项工作平稳运行。在此基础上，财政预算执行情况总体较好。</w:t>
      </w:r>
    </w:p>
    <w:p>
      <w:pPr>
        <w:spacing w:line="6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(一)2022年预算收支情况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1.一般公共预算</w:t>
      </w:r>
    </w:p>
    <w:p>
      <w:pPr>
        <w:spacing w:line="64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年初县十六届人大一次会议批准的2022年一般公共预算收入预算为18.39亿元，实际完成20.47亿元，占预算的111.3％，同比增长25.4％，增幅居县市区第1名，收入总量居县市区第3名。分项完成情况是：税收收入完成14.22亿元，占年初预算13.39亿元的106.2％，同比增长23.3％，税收增幅居县市区第1名；税收占一般公共预算收入的比重为69.5％；非税收入完成6.25亿元，同比增长30.8％，非税收入占一般公共预算收入的比重为30.5％。分级次完成情况是：县本级累计完成16.86亿元，占一般公共预算收入的82.4％，同比增长35.5％；乡镇累计完成3.61亿元，占一般公共预算收入的17.6％，同比下降6.9％。</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县十六届人大一次会议批准的一般公共预算支出预算为33.17亿元，执行中因上级补助增加、使用地方政府债券、动用预算稳定调节基金等，支出预算调整为45.69亿元，全年实际完成38.51亿元，占调整预算的84.3％，同比下降11.2%。</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2.政府性基金预算</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县十六届人大一次会议批准的2022年全县政府性基金收入预算为18.13亿元。年度执行中，由于国有土地使用权出让收入大幅下降，十六届人大常委会第六次会议批准收入预算调整为7.29亿元，实际完成7.61亿元，占调整预算104.3%，同比下降51.7％。年初县十六届人大一次会议批准的2022年全县政府性基金支出预算为22.06亿元，预算执行中因上级补助和基金收入减少、发行地方政府债券等因素，政府性基金支出预算调整为20.07亿元，实际完成13亿元，占调整预算64.8%，同比下降46.5%。</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3.社会保险基金预算</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县十六届人大一次会议批准的2022年全县社会保险基金收入预算合计53668万元，实际完成61999万元，占预算的115.5％。其中：机关事业养老保险基金收入预算29760万元，实际收入完成28512万元，占预算95.8%；城乡居民基本养老保险基金收入预算23908万元，实际收入完成33487万元，占预算140.1%；年初县十六届人大一次会议批准的2022年全县社会保险基金支出预算合计49461万元，实际完成45087万元，占预算的91.2％。其中：机关事业养老保险基金支出预算32760万元，实际完成支出29206万元，占预算89.2%；城乡居民基本养老保险基金支出预算16701万元，实际完成支出15881万元，占预算95.1%；</w:t>
      </w:r>
    </w:p>
    <w:p>
      <w:pPr>
        <w:spacing w:line="6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(二)政府债务情况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2022年底,省财政厅核定我县政府债务限额59.52亿元,其中:一般债务限额18.7亿元,专项债务限额40.82亿元。</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截至2022年底,全县政府债务余额57.64亿元,其中:一般债务余额17.45亿元,专项债务余额40.19亿元。各项债务余额均低于核定限额,政府债务风险整体可控。</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2022年,全县共争取政府债券14.8亿元,其中:一般债券1.88亿元(新增一般债券0.73亿元,再融资一般债券1.15亿元),专项债券12.92亿元(新增专项债券11.74亿元,再融资专项债券1.18亿元)。</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2022年,全县政府债券还本付息4.06亿元。其中：债券还本2.34亿元,债券付息1.72亿元。</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上述财政收支和政府债务数据为快报数据,在完成决算审查汇总及办理上下级财政年终结算后还会有所变动，决算结果届时报县人大常委会审批。</w:t>
      </w:r>
    </w:p>
    <w:p>
      <w:pPr>
        <w:spacing w:line="6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(三)落实县人大决议和财政工作情况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来，财政部门认真贯彻县委、县政府决策部署，按照预算法及其实施条例，落实县人大预算决议和审查意见要求，坚持积极的财政政策并提升效能，更加注重精准可持续。积极落实减税降费政策，加大对保就业、保民生、保市场主体的支持力度，常态化实施财政资金直达机制，加强民生和重点领域经费保障。防范地方政府债务风险，深化财税体制改革，狠抓财政管理和政策落实。为完成全年经济社会发展主要目标任务提供了有力保障。</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效落实稳经济一揽子财政政策。聚焦市场主体的困难和需求，顶格执行“六税两费"减免政策，全面落实企业研发费用加计扣除和高新技术企业所得税优惠政策，从快落实增值税留抵退税政策，全县新增减税降费及退税减税缓费共计7.1亿元（地方级1.1亿元），其中：留抵退税6.3亿元（地方级0.95亿元），对4458户小微企业享受新增减税0.3亿元，对1380户中小型制造业企业享受缓缴税费0.5亿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用实实在在的真金白银助力市场主体纾困发展。落实满负荷生产财政奖励政策，支持企业复工复产，全县共拨付奖补资金220万元。落实失业保险稳岗补贴返还及创新发展贴息政策，累计拨付1036万元。</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shd w:val="clear" w:color="auto" w:fill="FFFFFF"/>
        </w:rPr>
        <w:t xml:space="preserve"> 加</w:t>
      </w:r>
      <w:r>
        <w:rPr>
          <w:rFonts w:hint="eastAsia" w:ascii="仿宋_GB2312" w:hAnsi="仿宋_GB2312" w:eastAsia="仿宋_GB2312" w:cs="仿宋_GB2312"/>
          <w:bCs/>
          <w:sz w:val="32"/>
          <w:szCs w:val="32"/>
        </w:rPr>
        <w:t>大力度支持企业发展</w:t>
      </w:r>
      <w:r>
        <w:rPr>
          <w:rFonts w:hint="eastAsia" w:ascii="仿宋_GB2312" w:hAnsi="仿宋_GB2312" w:eastAsia="仿宋_GB2312" w:cs="仿宋_GB2312"/>
          <w:sz w:val="32"/>
          <w:szCs w:val="32"/>
        </w:rPr>
        <w:t>。创新财政资金投入方式，综合</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奖补、贴息等政策措施，支持重点产业、重点企业发展</w:t>
      </w:r>
      <w:r>
        <w:rPr>
          <w:rFonts w:hint="eastAsia" w:ascii="仿宋_GB2312" w:hAnsi="仿宋_GB2312" w:eastAsia="仿宋_GB2312" w:cs="仿宋_GB2312"/>
          <w:sz w:val="32"/>
          <w:szCs w:val="32"/>
          <w:lang w:eastAsia="zh-CN"/>
        </w:rPr>
        <w:t>壮</w:t>
      </w:r>
      <w:r>
        <w:rPr>
          <w:rFonts w:hint="eastAsia" w:ascii="仿宋_GB2312" w:hAnsi="仿宋_GB2312" w:eastAsia="仿宋_GB2312" w:cs="仿宋_GB2312"/>
          <w:sz w:val="32"/>
          <w:szCs w:val="32"/>
        </w:rPr>
        <w:t>大。安排高新技术及战略发展专项资金</w:t>
      </w:r>
      <w:r>
        <w:rPr>
          <w:rFonts w:hint="eastAsia" w:ascii="仿宋_GB2312" w:hAnsi="仿宋_GB2312" w:eastAsia="仿宋_GB2312" w:cs="仿宋_GB2312"/>
          <w:sz w:val="32"/>
          <w:szCs w:val="32"/>
          <w:lang w:val="en-US" w:eastAsia="zh-CN"/>
        </w:rPr>
        <w:t>3.2亿</w:t>
      </w:r>
      <w:r>
        <w:rPr>
          <w:rFonts w:hint="eastAsia" w:ascii="仿宋_GB2312" w:hAnsi="仿宋_GB2312" w:eastAsia="仿宋_GB2312" w:cs="仿宋_GB2312"/>
          <w:sz w:val="32"/>
          <w:szCs w:val="32"/>
        </w:rPr>
        <w:t>元，改造提升传统产业、着力培育和发展高新技术产业和战略新兴产业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累计拨付企业科技创新贷款贴息资金1246万元，对企业创新项目进行贴息支持，充分发挥了财政资金引导作用，促进以企业为主</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的科技创新体系建设。持续开展 “万人助万企”活动，落实财政支持企业发展各项奖补政策，助力企业发展。进一步规范政府采购监管，全面清理政府采购领域妨碍公平竞争的规定和做法，保障企业自由公平参与政府采购活动，减环节、减时间、减成本，营造权责清晰、运行高效、监管有力、服务优化，</w:t>
      </w:r>
      <w:r>
        <w:rPr>
          <w:rFonts w:hint="eastAsia" w:ascii="仿宋_GB2312" w:hAnsi="仿宋_GB2312" w:eastAsia="仿宋_GB2312" w:cs="仿宋_GB2312"/>
          <w:sz w:val="32"/>
          <w:szCs w:val="32"/>
          <w:lang w:eastAsia="zh-CN"/>
        </w:rPr>
        <w:t>便企惠企的一流营商环境</w:t>
      </w:r>
      <w:r>
        <w:rPr>
          <w:rFonts w:hint="eastAsia" w:ascii="仿宋_GB2312" w:hAnsi="仿宋_GB2312" w:eastAsia="仿宋_GB2312" w:cs="仿宋_GB2312"/>
          <w:sz w:val="32"/>
          <w:szCs w:val="32"/>
        </w:rPr>
        <w:t>。创新融资模式，2022年累计为我县3家企业4次提供应急周转过桥资金3850万元，有效解决了中小企业融资难和融资贵问题，为企业节约了融资成本。</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全力支持重大项目建设。坚持项目为王,保证财政支出强度,加快资金支出进度,全力支持交通、城市更新等领域重大项目建设。共争取上级各类基础设施建设资金1.7亿元,较好地支持了交通公路、生态环保、乡村发展及南水北调后续工程等领域项目基础设施建设。紧扣政策导向，在政府专项债券项目申报领域内，积极研究谋划，新增债券转贷资金为全县重点项目建设筹集了大量低成本资金，有效发挥债券资金稳投资、促发展、补短板、惠民生的积极作用。</w:t>
      </w:r>
    </w:p>
    <w:p>
      <w:pPr>
        <w:spacing w:line="640" w:lineRule="exact"/>
        <w:ind w:firstLine="809" w:firstLineChars="253"/>
        <w:rPr>
          <w:rFonts w:ascii="仿宋_GB2312" w:hAnsi="仿宋_GB2312" w:eastAsia="仿宋_GB2312" w:cs="仿宋_GB2312"/>
          <w:sz w:val="32"/>
          <w:szCs w:val="32"/>
        </w:rPr>
      </w:pPr>
      <w:r>
        <w:rPr>
          <w:rFonts w:hint="eastAsia" w:ascii="仿宋_GB2312" w:hAnsi="仿宋_GB2312" w:eastAsia="仿宋_GB2312" w:cs="仿宋_GB2312"/>
          <w:sz w:val="32"/>
          <w:szCs w:val="32"/>
        </w:rPr>
        <w:t>4.持续加大民生资金投入。全县民生支出完成34.3亿元,占一般公共预算支出的比重为89%。支持做好常态化疫情防控。县财政累计筹措资金4820万元,支持疫情防控体系建设、防疫设备和物资购置、免费核酸检测等。全面落实就业优先政策。争取中省资金5075万元,对个人创业担保贷款进行财政全额贴息,支持高校毕业生等重点群体就业创业。推动教育高质量发展。筹措资金1.23亿元,巩固完善义务教育经费保障机制,推动义务教育均衡发展;筹措资金6360万元,推动义务教育薄弱环节改善和能力提升;筹措资金7583万元,支持学前教育普惠发展;筹措资金7100万元,支持高等及普通职业教育内涵发展;筹措资金1336元,支持落实困难学生资助政策。强化基本民生保障。筹措资金3.4亿元，提高城乡居民基础养老金水平；安排资金3.7亿元，将城乡居民医保财政补助标准提高到每人每年610元；落实困难群众救助政策资金1.1亿元,将城乡最低生活保障标准分别提高到每人每月630元、420元,城乡特困人员救助供养基本生活标准提高到月人均819元、546元；安排资金8503万元，提高优抚对象生活补助标准及残疾人“两项补贴”，保障优抚对象医疗报销标准，提升了残疾人生活水平；拨付基本公共卫生服务、重大公共卫生等医疗卫生专项补助资金2亿元，支持医疗卫生事业发展，完善公共卫生体系建设；争取资金1147万元支持养老体系建设,落实高龄老人补贴政策，推进政府购买养老服务</w:t>
      </w:r>
      <w:r>
        <w:rPr>
          <w:rFonts w:hint="eastAsia" w:ascii="仿宋_GB2312" w:hAnsi="仿宋_GB2312" w:eastAsia="仿宋_GB2312" w:cs="仿宋_GB2312"/>
          <w:sz w:val="32"/>
          <w:szCs w:val="32"/>
          <w:lang w:eastAsia="zh-CN"/>
        </w:rPr>
        <w:t>，提升养老服务</w:t>
      </w:r>
      <w:r>
        <w:rPr>
          <w:rFonts w:hint="eastAsia" w:ascii="仿宋_GB2312" w:hAnsi="仿宋_GB2312" w:eastAsia="仿宋_GB2312" w:cs="仿宋_GB2312"/>
          <w:sz w:val="32"/>
          <w:szCs w:val="32"/>
        </w:rPr>
        <w:t>水平。支持完善公共文化服务体系。筹措资金3459万元,支持“三馆一院”等文化场馆服务功能完善提升，实施文化惠民工程，有力促进了公共文化服务体系建设。加强生态环境保护。节能环保安排资金3.68亿元,重点支持了大气、</w:t>
      </w:r>
      <w:r>
        <w:rPr>
          <w:rFonts w:hint="eastAsia" w:ascii="仿宋_GB2312" w:hAnsi="仿宋_GB2312" w:eastAsia="仿宋_GB2312" w:cs="仿宋_GB2312"/>
          <w:sz w:val="32"/>
          <w:szCs w:val="32"/>
          <w:lang w:eastAsia="zh-CN"/>
        </w:rPr>
        <w:t>水</w:t>
      </w:r>
      <w:r>
        <w:rPr>
          <w:rFonts w:hint="eastAsia" w:ascii="仿宋_GB2312" w:hAnsi="仿宋_GB2312" w:eastAsia="仿宋_GB2312" w:cs="仿宋_GB2312"/>
          <w:sz w:val="32"/>
          <w:szCs w:val="32"/>
        </w:rPr>
        <w:t>、土壤污染防治、农村环境治理等污染防治攻坚工作；支持森林生态效益补偿及天然林保护等生态修复工程，促进了生态文明建设。</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助推乡村全面发展。支持巩固拓展脱贫攻坚成果同乡村振兴有效衔接,在财政支出压力较大情况下,继续安排衔接资金4250万元,确保了财政投入力度不减,同时积极争取中央、省市衔接资金15232万元,乡村振兴衔接资金位居全市前列。支持粮食生产能力提升。筹措资金9283万元,加强高标准农田建设,强化水利设施防灾减灾能力,进一步夯实农业生产基础。拨付耕地地力保护补贴资金7007万元，农机具购置补贴资金645万元,争取产粮大县、产油大县等奖励资金3119万元,支持提高农业生产能力和农民生产积极性。筹措资金2809万元,对实际种粮农民进行一次性补贴,有效应对农资价格上涨。支持加快乡村建设。统筹资金2523万元，支持壮大村级集体经济、农村公益事业、美丽乡村项目建设。</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6.规范财政资金管理使用。严格执行财经法律法规和管理规定,管好用好财政资金,规范收支行为,扎紧制度“笼子”</w:t>
      </w:r>
      <w:r>
        <w:rPr>
          <w:rFonts w:hint="eastAsia" w:ascii="仿宋_GB2312" w:hAnsi="仿宋_GB2312" w:eastAsia="仿宋_GB2312" w:cs="仿宋_GB2312"/>
          <w:color w:val="000000" w:themeColor="text1"/>
          <w:sz w:val="32"/>
          <w:szCs w:val="32"/>
          <w14:textFill>
            <w14:solidFill>
              <w14:schemeClr w14:val="tx1"/>
            </w14:solidFill>
          </w14:textFill>
        </w:rPr>
        <w:t>。落实财政资金直达机制,安排直达资金11.76亿元，实行全流程、全覆盖、全链条跟踪监控,确保财政资金规范高效地直达基层、惠企利民。</w:t>
      </w:r>
      <w:r>
        <w:rPr>
          <w:rFonts w:hint="eastAsia" w:ascii="仿宋_GB2312" w:hAnsi="仿宋_GB2312" w:eastAsia="仿宋_GB2312" w:cs="仿宋_GB2312"/>
          <w:sz w:val="32"/>
          <w:szCs w:val="32"/>
        </w:rPr>
        <w:t>加强财政监管和资金评审,组织对全县2家单位开展政府会计信息质量检查,共查处违纪问题6个,涉及资金286.4万元,有效促进财政资金规范使用;通过惠民惠农财政补贴资金“一卡通”系统成功发放各类补贴资金合计3.58亿元,惠及132万人次；完成政府投资评审送审金额47亿元，审减6.8亿元，审减率14.5%。坚持“三保”支出在预算安排和库款拨付等方面的优先顺序,加强“三保”资金保障情况风险评估,全年“三保”支出安排33.3亿元,达到国家基本保障标准,确保了“三保”支出不留缺口,形势整体稳定。加强政府债务风险监测预警,做好法定债务还本付息、隐性债务存量化解等工作,有效防范了区域性系统性风险。</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7.深入推进财政体制改革。严格落实《预算法》及《预算法实施条例》有关规定,按时向人大报告预算执行和调整情况,主动接受人大全口径、全过程、全方位监督,年度预算经人代会批准后,在规定时间内及时批复各预算单位,指导督促预算单位做好部门预算公开。全面落实省直管县财政体制改革,圆满完成基数划转核定工作,持续推进预算管理制度改革,坚持先有预算后有支出,坚决禁止超预算、无预算安排支出,进一步强化预算约束力。按照预算一体化管理要求，从预算调整调剂、指标管理、国库集中支付、公务卡、工资统发、动态监控、单位会计核算、预算指标会计核算等方面科学化、标准化规范，提升了预算管理现代化水平。持续开展</w:t>
      </w:r>
      <w:r>
        <w:rPr>
          <w:rFonts w:hint="eastAsia" w:ascii="仿宋_GB2312" w:hAnsi="仿宋_GB2312" w:eastAsia="仿宋_GB2312" w:cs="仿宋_GB2312"/>
          <w:color w:val="000000" w:themeColor="text1"/>
          <w:sz w:val="32"/>
          <w:szCs w:val="32"/>
          <w14:textFill>
            <w14:solidFill>
              <w14:schemeClr w14:val="tx1"/>
            </w14:solidFill>
          </w14:textFill>
        </w:rPr>
        <w:t>预算绩效管理。强化县级项目预算绩效目标和部门整体资金绩效目标的编制、审核管理，组织县直部门全面开展绩效自评，实现了绩效目标编制和绩效自评工作“两个覆盖”。完成 5个财政重点项目绩效评价和 2 个部门整体支出绩效评价，进一步完善绩效结果与预算安排、政策调整有效衔接机制，促进财政资金使用效益不断提升。</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8.加强国有资产监督管理。按要求向人大报告全县国有资产管理情况和行政事业性国有资产管理情况,全面客观反映国有资产状况。</w:t>
      </w:r>
      <w:r>
        <w:rPr>
          <w:rFonts w:ascii="仿宋_GB2312" w:hAnsi="仿宋_GB2312" w:eastAsia="仿宋_GB2312" w:cs="仿宋_GB2312"/>
          <w:sz w:val="32"/>
          <w:szCs w:val="32"/>
        </w:rPr>
        <w:t>对我县涉改单位国有资产进行梳理，摸清重点资产存量状况，按照“先调剂、后采购”原则，统一调剂使用涉改单位办公用房、办公设备和公务车辆等重点资产，盘活存量资产，最大限度提高存量资产的效能，确保国有资产管理使用和监管落到实处。</w:t>
      </w:r>
      <w:r>
        <w:rPr>
          <w:rFonts w:hint="eastAsia" w:ascii="仿宋_GB2312" w:hAnsi="仿宋_GB2312" w:eastAsia="仿宋_GB2312" w:cs="仿宋_GB2312"/>
          <w:sz w:val="32"/>
          <w:szCs w:val="32"/>
        </w:rPr>
        <w:t>深化功能类国有企业改革，持续推进市场化转型工作。逐步建立了完善的法人治理结构、完善的现代化企业制度，推动国有功能类公司转型为“产权清晰、权责明确、政企分开、管理科学”的现代化企业。</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的来看,2022年预算执行情况较好,财政改革发展各项任务取得新进展,这是深入贯彻落实习近平新时代中国特色社会主义思想和党的二十大精神的结果,是县委坚强领导、科学决策的结果,是县人大、县政协及代表委员们监督指导、关心支持的结果,是各部门齐心协力、共同努力的结果。同时,我们也清醒地认识到,当前财政运行和预算管理工作还面临一些问题和挑战,主要是:财政收入平稳快速增长压力较大,财政刚性支出不断增多,财政收支矛盾依然突出;部分预算编制还不够精准细化,预算执行严肃性需要进一步增强;一些项目绩效目标设定不科学,绩效自评不够客观,资金使用效率有待提高;过紧日子的思想还没有完全树牢,铺张浪费现象仍有存在等。我们高度重视这些问题,积极采取有效措施予以解决。</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二、2023年县级预算草案情况</w:t>
      </w:r>
    </w:p>
    <w:p>
      <w:pPr>
        <w:spacing w:line="58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2023年是全面落实党的二十大精神的开局之年,是“十四五”规划承上启下的关键之年，是冲刺“全国百强县”门槛的攻坚之年，做好预算编制和财政工作意义重大。</w:t>
      </w:r>
    </w:p>
    <w:p>
      <w:pPr>
        <w:spacing w:line="6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（一）2023年财政预算编制总体要求</w:t>
      </w:r>
    </w:p>
    <w:p>
      <w:pPr>
        <w:tabs>
          <w:tab w:val="left" w:pos="1080"/>
        </w:tabs>
        <w:topLinePunct/>
        <w:autoSpaceDE w:val="0"/>
        <w:spacing w:line="580" w:lineRule="exact"/>
        <w:ind w:firstLine="642" w:firstLineChars="200"/>
        <w:outlineLvl w:val="0"/>
        <w:rPr>
          <w:rFonts w:ascii="仿宋_GB2312" w:hAnsi="仿宋_GB2312" w:eastAsia="仿宋_GB2312" w:cs="仿宋_GB2312"/>
          <w:sz w:val="32"/>
          <w:szCs w:val="32"/>
        </w:rPr>
      </w:pPr>
      <w:r>
        <w:rPr>
          <w:rFonts w:hint="eastAsia" w:ascii="仿宋" w:hAnsi="仿宋" w:eastAsia="仿宋" w:cs="仿宋"/>
          <w:b/>
          <w:bCs/>
          <w:sz w:val="32"/>
          <w:szCs w:val="32"/>
        </w:rPr>
        <w:t>预算编制的指导思想</w:t>
      </w:r>
      <w:r>
        <w:rPr>
          <w:rFonts w:hint="eastAsia" w:ascii="仿宋" w:hAnsi="仿宋" w:eastAsia="仿宋" w:cs="仿宋"/>
          <w:sz w:val="32"/>
          <w:szCs w:val="32"/>
        </w:rPr>
        <w:t>：</w:t>
      </w:r>
      <w:r>
        <w:rPr>
          <w:rFonts w:hint="eastAsia" w:ascii="仿宋_GB2312" w:hAnsi="仿宋_GB2312" w:eastAsia="仿宋_GB2312" w:cs="仿宋_GB2312"/>
          <w:sz w:val="32"/>
          <w:szCs w:val="32"/>
        </w:rPr>
        <w:t>以习近平新时代中国特色社会主义思想为指导，全面贯彻</w:t>
      </w:r>
      <w:r>
        <w:rPr>
          <w:rFonts w:hint="eastAsia" w:ascii="仿宋_GB2312" w:hAnsi="仿宋_GB2312" w:eastAsia="仿宋_GB2312" w:cs="仿宋_GB2312"/>
          <w:sz w:val="32"/>
          <w:szCs w:val="32"/>
          <w:lang w:eastAsia="zh-CN"/>
        </w:rPr>
        <w:t>党的</w:t>
      </w:r>
      <w:bookmarkStart w:id="0" w:name="_GoBack"/>
      <w:bookmarkEnd w:id="0"/>
      <w:r>
        <w:rPr>
          <w:rFonts w:hint="eastAsia" w:ascii="仿宋_GB2312" w:hAnsi="仿宋_GB2312" w:eastAsia="仿宋_GB2312" w:cs="仿宋_GB2312"/>
          <w:sz w:val="32"/>
          <w:szCs w:val="32"/>
        </w:rPr>
        <w:t>二十大精神，认真落实省、市、县委经济工作会议部署，坚持稳中求进总基调，积极的财政政策加力提效，统筹疫情防控和经济社会发展，统筹发展和安全，推动稳经济政策落地见效。坚持“紧日子保基本、调结构保战略”，持续深化预算管理制度改革，加大财政资源统筹，</w:t>
      </w:r>
      <w:r>
        <w:rPr>
          <w:rFonts w:hint="eastAsia" w:ascii="仿宋_GB2312" w:hAnsi="仿宋_GB2312" w:eastAsia="仿宋_GB2312" w:cs="仿宋_GB2312"/>
          <w:bCs/>
          <w:kern w:val="0"/>
          <w:sz w:val="32"/>
          <w:szCs w:val="32"/>
        </w:rPr>
        <w:t>做到尽力而为、量力而行，</w:t>
      </w:r>
      <w:r>
        <w:rPr>
          <w:rFonts w:hint="eastAsia" w:ascii="仿宋_GB2312" w:hAnsi="仿宋_GB2312" w:eastAsia="仿宋_GB2312" w:cs="仿宋_GB2312"/>
          <w:sz w:val="32"/>
          <w:szCs w:val="32"/>
        </w:rPr>
        <w:t>优化财政支出结构，集中财力保障全县重大战略决策部署落实；坚决落实过紧日子各项要求，勤俭节约办一切事业，进一步严格财政支出管理；坚持预算法定，落实部门和单位预算管理主体责任，强化预算约束和绩效管理，提高财政资金配置效率和支出使用效果；完善预算管理一体化建设，不断提高预算管理规范化、科学化、标准化水平和预算透明度；加强地方债务管理，切实防范财政运行风险，促进经济社会持续健康发展。</w:t>
      </w:r>
    </w:p>
    <w:p>
      <w:pPr>
        <w:tabs>
          <w:tab w:val="left" w:pos="1080"/>
        </w:tabs>
        <w:topLinePunct/>
        <w:autoSpaceDE w:val="0"/>
        <w:spacing w:line="58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贯彻上述指导思想，重点把握好以下原则；</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有保有压，兜牢三保；</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集中财力，保障重点；</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强化管理，硬化约束；</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讲求绩效，提高效益；</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防范风险，守牢底线。</w:t>
      </w:r>
    </w:p>
    <w:p>
      <w:pPr>
        <w:spacing w:line="6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（二）2023年县级财政预算安排初步意见</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1.县级一般公共预算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收支安排。综合考虑2023年各项收入增减因素，按照积极稳妥的原则，初步考虑全县一般公共预算收入预期23.13亿元，较上年增长13%。其中：税收收入拟安排16.35亿元，非税收入拟安排6.78亿元。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省直管县财政体制算账，县级一般公共预算收入加上税收返还、均衡性转移支付以及结算补助、调入预算稳定调节基金、上年结转资金、地方政府债券转贷收入，减去体制上解和补助下级支出后，全县财力为477148万元。其中县本级财力为378336万元，较2022年年初县本级财力310763万元增加67573万元，增长21.7%；乡（镇）级财力27000万元；上年结转71812万元。全部安排支出。</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2.县级政府性基金预算</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2023年县级政府性基金预算收入拟安排161305万元。</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政府性基金管理办法，政府性基金支出安排204905万元（其中专项债券收入安排43600万元）。主要包括国有土地使用权出让收入拟安排支出139697万元；国有土地收益基金拟安排支出5000万元；农业土地开发资金拟安排支出1000万元；城市基础设施配套费拟安排1200万元；污水处理费安排的支出拟安排100万元；福利彩票销售机构业务费拟安排5万元；专项债券还本付息拟安排14303万元；专项债券安排内乡县城市供水能力提升及智慧化建设项目24600万元、内乡县泛半导体产业园建设（一期）19000万元。</w:t>
      </w:r>
    </w:p>
    <w:p>
      <w:pPr>
        <w:widowControl/>
        <w:spacing w:line="580" w:lineRule="exact"/>
        <w:ind w:firstLine="640" w:firstLineChars="200"/>
        <w:jc w:val="left"/>
        <w:outlineLvl w:val="1"/>
        <w:rPr>
          <w:rFonts w:ascii="楷体_GB2312" w:hAnsi="楷体_GB2312" w:eastAsia="楷体_GB2312" w:cs="楷体_GB2312"/>
          <w:b/>
          <w:bCs/>
          <w:kern w:val="0"/>
          <w:sz w:val="32"/>
          <w:szCs w:val="32"/>
        </w:rPr>
      </w:pPr>
      <w:r>
        <w:rPr>
          <w:rFonts w:hint="eastAsia" w:ascii="仿宋_GB2312" w:hAnsi="仿宋_GB2312" w:eastAsia="仿宋_GB2312" w:cs="仿宋_GB2312"/>
          <w:sz w:val="32"/>
          <w:szCs w:val="32"/>
        </w:rPr>
        <w:t>3.社会保险基金预算</w:t>
      </w:r>
    </w:p>
    <w:p>
      <w:pPr>
        <w:widowControl/>
        <w:spacing w:line="580" w:lineRule="exact"/>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2023年县级社会保险基金收入拟安排65213万元，支出预算49706万元。其中：机关事业养老保险基金收入29660万元，支出32660万元（动用上年滚存结余3000万元弥补收支缺口）；城乡居民基本养老保险基金收入35553万元（含失地农民保障金清算并入城乡居民养老个人账户），支出17046万元。</w:t>
      </w:r>
    </w:p>
    <w:p>
      <w:pPr>
        <w:tabs>
          <w:tab w:val="left" w:pos="1080"/>
        </w:tabs>
        <w:topLinePunct/>
        <w:autoSpaceDE w:val="0"/>
        <w:spacing w:line="580" w:lineRule="exact"/>
        <w:ind w:firstLine="640"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sz w:val="32"/>
          <w:szCs w:val="32"/>
        </w:rPr>
        <w:t>（三）2023年财政重点工作</w:t>
      </w:r>
    </w:p>
    <w:p>
      <w:pPr>
        <w:tabs>
          <w:tab w:val="left" w:pos="1080"/>
        </w:tabs>
        <w:topLinePunct/>
        <w:autoSpaceDE w:val="0"/>
        <w:spacing w:line="58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1.着力提高财政保障能力。</w:t>
      </w:r>
      <w:r>
        <w:rPr>
          <w:rFonts w:hint="eastAsia" w:ascii="仿宋_GB2312" w:hAnsi="仿宋_GB2312" w:eastAsia="仿宋_GB2312" w:cs="仿宋_GB2312"/>
          <w:bCs/>
          <w:sz w:val="32"/>
          <w:szCs w:val="32"/>
        </w:rPr>
        <w:t>积极培育涵养财源。加大对产业发展、项目建设、服务企业等方面的投入力度，带动纳税主体发展壮大和税源数量增多，夯实财政收入稳定增长更可持续的基础。强化涉税信息共享，注重部门协同配合，确保依法依规、应收尽收。加大向上争取力度。抓住省委支持南阳建设省域副中心城市的重大机遇，深入研究上级政策和资金动向，关注重点领域和关键环节，加大项目资金的争取力度，进一步增加可用财力。加强财政资源统筹。强化部门结转资金与当年预算的统筹，缓解预算安排压力，做到跨年度预算平衡。充分发挥财政资金使用效益。加大力度引导银行、保险、担保等金融资本支持市场主体发展，切实做好政策发挥。</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2.加快建设现代产业体系。</w:t>
      </w:r>
      <w:r>
        <w:rPr>
          <w:rFonts w:hint="eastAsia" w:ascii="仿宋_GB2312" w:hAnsi="仿宋_GB2312" w:eastAsia="仿宋_GB2312" w:cs="仿宋_GB2312"/>
          <w:bCs/>
          <w:sz w:val="32"/>
          <w:szCs w:val="32"/>
        </w:rPr>
        <w:t>发挥财政资金引导带动作用，提升产业发展水平，支持加快培育大集群，加速壮大五大产业集群和三个千亿产业园区。大力支持科技创新。深入实施创新驱动发展战略，激活创新主体。加大引进创新人才</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实施科技创新人才引育工程，落实好各项引进政策。支持培育壮大市场主体。落实财政惠企稳企各项政策，持续做好减税降费，用好出口退税周转金、政府采购合同融资政策工具，深化“万人助万企”，支持企业做大做强。</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3.推动城乡协调发展。</w:t>
      </w:r>
      <w:r>
        <w:rPr>
          <w:rFonts w:hint="eastAsia" w:ascii="仿宋_GB2312" w:hAnsi="仿宋_GB2312" w:eastAsia="仿宋_GB2312" w:cs="仿宋_GB2312"/>
          <w:bCs/>
          <w:sz w:val="32"/>
          <w:szCs w:val="32"/>
        </w:rPr>
        <w:t>实施“城市品质提升”战略。紧扣发展需要、民生需求，坚持项目跟着规划走，加快完善城市基础设施，打好城建攻坚战，打造更高标准的宜居宜业宜学宜游历史文化山水名城，为群众创造高品质生活环境。促进消费持续恢复。开展家电惠民行动，支持家电以旧换新。落实支持房地产发展的一系列政策，更好满足群众住房需求。支持文旅消费惠民活动，加快恢复接触性消费。支持基础能力建设。积极争取政府债券资金，重点支持交通、能源、生态环保、社会事业、新型基础设施等领域重大项目建设，精准补短板、强弱项，加快建设现代化基础设施体系。</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4.支持乡村全面振兴。</w:t>
      </w:r>
      <w:r>
        <w:rPr>
          <w:rFonts w:hint="eastAsia" w:ascii="仿宋_GB2312" w:hAnsi="仿宋_GB2312" w:eastAsia="仿宋_GB2312" w:cs="仿宋_GB2312"/>
          <w:kern w:val="0"/>
          <w:sz w:val="32"/>
          <w:szCs w:val="32"/>
        </w:rPr>
        <w:t>巩固脱贫攻坚成果。严格落实“四个不摘”要求，保持财政政策相对稳定，坚决守住不发生规模性返贫的底线。支持发展特色产业，促进脱贫人口就业和持续增收。注重“两藏”保粮安。坚持“藏粮于地”，实施“藏粮与技”。保持财政投入力度总体稳定，毫不放松抓好粮食生产，提升粮食生产能力。多渠道筹措资金，加强农田水利薄弱环节建设，提升现代种业发展水平，巩固粮食综合生产能力和供给保障能力。落实各项惠农补贴政策。保障农民种粮收益，提高农业保险保障作用，增强防范应对大灾风险的能力。大力支持乡村建设。支持加快交通、通信、物流等基础设施和学校、卫生室、文化站等公共服务设施建设，推进城乡基本公共服务均等化。支持农村人居环境整治，扶持壮大村级集体经济，发挥农村公益事业财政奖补作用，以项目建设为载体改善农村生产生活条件。</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5.更大力度保障改善民生。</w:t>
      </w:r>
      <w:r>
        <w:rPr>
          <w:rFonts w:hint="eastAsia" w:ascii="仿宋_GB2312" w:hAnsi="仿宋_GB2312" w:eastAsia="仿宋_GB2312" w:cs="仿宋_GB2312"/>
          <w:bCs/>
          <w:kern w:val="0"/>
          <w:sz w:val="32"/>
          <w:szCs w:val="32"/>
        </w:rPr>
        <w:t>支持做好就业和社会保障。统筹用好职业培训、公益性岗位、社会保险等各类补贴资金，支持高校毕业生、农民工、就业困难人员、退役士兵等重点群体多渠道就业创业。加大基本养老保险基金补助力度，做好社会救助、社会福利、优抚安置等工作，大力支持养老服务体系建设，健全多层次社会保障体系。支持教育事业发展。落实义务教育经费保障机制，推进义务教育薄弱环节改善和能力提升。扩大普惠性学前教育资源，推进构建学前教育公共服务体系。加快发展牧原现代职业教育，支持高水平职业学校和专业建设。持续提升公共卫生服务保障水平。加快推动中医药传承创新发展。筹措资金提高居民医保、基本公共卫生服务经费人均财政补助标准。持续加强生态建设。筹措资金支持深入打好污染防治攻坚战，完善环保治污设施，改善环境质量。大力支持废弃矿山生态修复，推进国储林项目实施，开展国土绿化，加强生态建设和修复。支持社会事业发展。落实公共文化服务财政保障机制，推进城乡公共文化服务体系一体建设。支持公益性文化设施免费开放，更好满足人民群众精神文化生活需求。统筹资金加快社会治理体系建设，确保社会大局和谐稳定。</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rPr>
        <w:t>6.改进和加强预算管理，推进财政高质量发展。</w:t>
      </w:r>
      <w:r>
        <w:rPr>
          <w:rFonts w:hint="eastAsia" w:ascii="仿宋_GB2312" w:hAnsi="仿宋_GB2312" w:eastAsia="仿宋_GB2312" w:cs="仿宋_GB2312"/>
          <w:bCs/>
          <w:kern w:val="0"/>
          <w:sz w:val="32"/>
          <w:szCs w:val="32"/>
        </w:rPr>
        <w:t>严格贯彻预算法及其实施条例。坚持预算法定，严格执行人大批准的预算，强化预算约束。增强政府预算收支完整性,加强部门和单位各项收支管理,提升财政资源统筹能力。全面推进中期财政规划管理，提高财政资源跨期配置效率,从更长周期、更广范围谋划政策和预算安排。坚持勤俭节约过紧日子。将过紧日子作为长期坚持的基本方针,勤俭节约办一切事业,持续压减非刚性、非重点、非急需支出,严控“三公”经费。深化预算管理制度改革。落实关于进一步深化预算管理制度改革的意见,提高预算管理规范化、科学化、标准化水平和预决算透明度。推动零基预算改革深入实施,坚决打破基数概念和支出固化格局,坚持“先谋事、再排钱”,“资金跟着项目走”,做深做实项目库,实施项目全生命周期管理。加强预算绩效管理。强化财政政策绩效管理,开展预算安排事前绩效评估,增强政策可行性和财政可持续性。完善全过程绩效管控机制,实施项目全过程预算绩效管理,切实节约行政成本。硬化责任约束,真正做到“花钱必问效、无效必问责”。加强绩效结果应用,健全预算安排与绩效结果的有效衔接机制。进一步推动绩效目标、绩效评价结果向社会公开。坚决守牢风险底线。加强政府债务管理,坚持“开前门、堵后门”,加快债券资金使用进度,切实做好专项债券还本付息付费工作,严禁借道融资平台公司或以政府投资基金、PPP项目、政府购买服务等名义违法违规或变相举债,坚决遏制隐性债务增量,稳妥有序化解隐性债务存量,对违法违规举债融资行为依法依规进行严肃处理。坚持“保基本民生、保工资、保运转”支出在预算安排和库款拨付等方面的优先顺序,千方百计落实“三保”资金需求,保障“三保”支出不留缺口,维护社会大局稳定。</w:t>
      </w:r>
    </w:p>
    <w:p>
      <w:pPr>
        <w:pStyle w:val="4"/>
        <w:spacing w:line="580" w:lineRule="exact"/>
        <w:ind w:firstLine="640" w:firstLineChars="200"/>
        <w:jc w:val="both"/>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各位代表，做好今年的财政工作，任务艰巨，责任重大，我们将坚持以习近平新时代中国特色社会主义思想为指导，全面贯彻党的二十大精神，在县委的坚强领导下，在县人大、县政协监督支持下，认真落实本次会议决议，更好发挥财政职能作用，扎实做好财政各项工作，为推动我县经济高质量发展贡献财政新的力量！</w:t>
      </w:r>
    </w:p>
    <w:p>
      <w:pPr>
        <w:widowControl/>
        <w:spacing w:line="580" w:lineRule="exact"/>
        <w:ind w:firstLine="640" w:firstLineChars="200"/>
        <w:rPr>
          <w:rFonts w:ascii="仿宋_GB2312" w:hAnsi="仿宋_GB2312" w:eastAsia="仿宋_GB2312" w:cs="仿宋_GB2312"/>
          <w:color w:val="000000"/>
          <w:kern w:val="0"/>
          <w:sz w:val="32"/>
          <w:szCs w:val="32"/>
        </w:rPr>
      </w:pPr>
    </w:p>
    <w:p>
      <w:pPr>
        <w:widowControl/>
        <w:spacing w:line="580" w:lineRule="exact"/>
        <w:rPr>
          <w:rFonts w:ascii="仿宋_GB2312" w:hAnsi="仿宋_GB2312" w:eastAsia="仿宋_GB2312" w:cs="仿宋_GB2312"/>
          <w:color w:val="000000"/>
          <w:kern w:val="0"/>
          <w:sz w:val="32"/>
          <w:szCs w:val="32"/>
        </w:rPr>
      </w:pPr>
    </w:p>
    <w:p>
      <w:pPr>
        <w:pStyle w:val="2"/>
        <w:spacing w:before="156" w:after="156"/>
      </w:pP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附表：表一：2022年县级一般公共预算收入完成情况表</w:t>
      </w:r>
    </w:p>
    <w:p>
      <w:pPr>
        <w:widowControl/>
        <w:spacing w:line="58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表二：2022年县级一般公共预算支出完成情况表</w:t>
      </w:r>
    </w:p>
    <w:p>
      <w:pPr>
        <w:widowControl/>
        <w:spacing w:line="58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表三：2022年政府性基金预算收入完成情况表</w:t>
      </w:r>
    </w:p>
    <w:p>
      <w:pPr>
        <w:widowControl/>
        <w:spacing w:line="58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表四：2022年政府性基金支出完成预算情况表</w:t>
      </w:r>
    </w:p>
    <w:p>
      <w:pPr>
        <w:widowControl/>
        <w:spacing w:line="58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表五：2022年社保基金预算收支完成情况表</w:t>
      </w:r>
    </w:p>
    <w:p>
      <w:pPr>
        <w:widowControl/>
        <w:spacing w:line="580" w:lineRule="exact"/>
        <w:ind w:firstLine="1600" w:firstLineChars="5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32"/>
          <w:szCs w:val="32"/>
        </w:rPr>
        <w:t>表六：2023年县级一般公共预算收入表（草案）</w:t>
      </w:r>
    </w:p>
    <w:p>
      <w:pPr>
        <w:widowControl/>
        <w:spacing w:line="58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表七：2023年县级一般公共预算支出总表（草案）</w:t>
      </w:r>
    </w:p>
    <w:p>
      <w:pPr>
        <w:widowControl/>
        <w:spacing w:line="58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表八：2023年县本级一般公共预算支出表（草案）</w:t>
      </w:r>
    </w:p>
    <w:p>
      <w:pPr>
        <w:widowControl/>
        <w:spacing w:line="58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表九：2023年政府性基金收入预算表（草案）</w:t>
      </w:r>
    </w:p>
    <w:p>
      <w:pPr>
        <w:widowControl/>
        <w:spacing w:line="58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表十：2023年政府性基金支出预算表（草案）</w:t>
      </w:r>
    </w:p>
    <w:p>
      <w:pPr>
        <w:widowControl/>
        <w:spacing w:line="580" w:lineRule="exact"/>
        <w:ind w:firstLine="1600" w:firstLineChars="5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32"/>
          <w:szCs w:val="32"/>
        </w:rPr>
        <w:t>表十一：2023年社会保险基金收支预算表（草案）</w:t>
      </w:r>
    </w:p>
    <w:p>
      <w:pPr>
        <w:widowControl/>
        <w:spacing w:line="580" w:lineRule="exact"/>
        <w:ind w:firstLine="642" w:firstLineChars="200"/>
        <w:rPr>
          <w:rFonts w:ascii="仿宋_GB2312" w:hAnsi="仿宋_GB2312" w:eastAsia="仿宋_GB2312" w:cs="仿宋_GB2312"/>
          <w:b/>
          <w:bCs/>
          <w:color w:val="000000"/>
          <w:kern w:val="0"/>
          <w:sz w:val="32"/>
          <w:szCs w:val="32"/>
        </w:rPr>
      </w:pPr>
    </w:p>
    <w:p/>
    <w:p>
      <w:pPr>
        <w:pStyle w:val="2"/>
        <w:spacing w:before="156" w:after="156"/>
      </w:pPr>
    </w:p>
    <w:p/>
    <w:p>
      <w:pPr>
        <w:pStyle w:val="2"/>
        <w:spacing w:before="156" w:after="156"/>
      </w:pPr>
    </w:p>
    <w:p/>
    <w:p>
      <w:pPr>
        <w:pStyle w:val="2"/>
        <w:spacing w:before="156" w:after="156"/>
      </w:pPr>
    </w:p>
    <w:p>
      <w:pPr>
        <w:pStyle w:val="2"/>
        <w:spacing w:before="156" w:after="156"/>
      </w:pPr>
    </w:p>
    <w:p/>
    <w:p>
      <w:pPr>
        <w:pStyle w:val="2"/>
        <w:spacing w:before="156" w:after="156"/>
      </w:pPr>
    </w:p>
    <w:p/>
    <w:tbl>
      <w:tblPr>
        <w:tblStyle w:val="7"/>
        <w:tblW w:w="9700" w:type="dxa"/>
        <w:jc w:val="center"/>
        <w:tblLayout w:type="fixed"/>
        <w:tblCellMar>
          <w:top w:w="0" w:type="dxa"/>
          <w:left w:w="108" w:type="dxa"/>
          <w:bottom w:w="0" w:type="dxa"/>
          <w:right w:w="108" w:type="dxa"/>
        </w:tblCellMar>
      </w:tblPr>
      <w:tblGrid>
        <w:gridCol w:w="1458"/>
        <w:gridCol w:w="559"/>
        <w:gridCol w:w="630"/>
        <w:gridCol w:w="419"/>
        <w:gridCol w:w="151"/>
        <w:gridCol w:w="1030"/>
        <w:gridCol w:w="115"/>
        <w:gridCol w:w="595"/>
        <w:gridCol w:w="157"/>
        <w:gridCol w:w="520"/>
        <w:gridCol w:w="88"/>
        <w:gridCol w:w="200"/>
        <w:gridCol w:w="1062"/>
        <w:gridCol w:w="609"/>
        <w:gridCol w:w="3"/>
        <w:gridCol w:w="296"/>
        <w:gridCol w:w="733"/>
        <w:gridCol w:w="122"/>
        <w:gridCol w:w="118"/>
        <w:gridCol w:w="334"/>
        <w:gridCol w:w="501"/>
      </w:tblGrid>
      <w:tr>
        <w:tblPrEx>
          <w:tblCellMar>
            <w:top w:w="0" w:type="dxa"/>
            <w:left w:w="108" w:type="dxa"/>
            <w:bottom w:w="0" w:type="dxa"/>
            <w:right w:w="108" w:type="dxa"/>
          </w:tblCellMar>
        </w:tblPrEx>
        <w:trPr>
          <w:gridAfter w:val="1"/>
          <w:wAfter w:w="501" w:type="dxa"/>
          <w:trHeight w:val="326" w:hRule="atLeast"/>
          <w:jc w:val="center"/>
        </w:trPr>
        <w:tc>
          <w:tcPr>
            <w:tcW w:w="2647" w:type="dxa"/>
            <w:gridSpan w:val="3"/>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附表一</w:t>
            </w:r>
          </w:p>
        </w:tc>
        <w:tc>
          <w:tcPr>
            <w:tcW w:w="1600" w:type="dxa"/>
            <w:gridSpan w:val="3"/>
            <w:tcBorders>
              <w:top w:val="nil"/>
              <w:left w:val="nil"/>
              <w:bottom w:val="nil"/>
              <w:right w:val="nil"/>
            </w:tcBorders>
            <w:shd w:val="clear" w:color="auto" w:fill="auto"/>
            <w:noWrap/>
            <w:vAlign w:val="center"/>
          </w:tcPr>
          <w:p>
            <w:pPr>
              <w:jc w:val="center"/>
              <w:rPr>
                <w:rFonts w:ascii="黑体" w:hAnsi="宋体" w:eastAsia="黑体" w:cs="黑体"/>
                <w:color w:val="000000"/>
                <w:sz w:val="24"/>
              </w:rPr>
            </w:pPr>
          </w:p>
        </w:tc>
        <w:tc>
          <w:tcPr>
            <w:tcW w:w="710" w:type="dxa"/>
            <w:gridSpan w:val="2"/>
            <w:tcBorders>
              <w:top w:val="nil"/>
              <w:left w:val="nil"/>
              <w:bottom w:val="nil"/>
              <w:right w:val="nil"/>
            </w:tcBorders>
          </w:tcPr>
          <w:p>
            <w:pPr>
              <w:jc w:val="center"/>
              <w:rPr>
                <w:rFonts w:ascii="黑体" w:hAnsi="宋体" w:eastAsia="黑体" w:cs="黑体"/>
                <w:color w:val="000000"/>
                <w:sz w:val="24"/>
              </w:rPr>
            </w:pPr>
          </w:p>
        </w:tc>
        <w:tc>
          <w:tcPr>
            <w:tcW w:w="2027" w:type="dxa"/>
            <w:gridSpan w:val="5"/>
            <w:tcBorders>
              <w:top w:val="nil"/>
              <w:left w:val="nil"/>
              <w:bottom w:val="nil"/>
              <w:right w:val="nil"/>
            </w:tcBorders>
            <w:shd w:val="clear" w:color="auto" w:fill="auto"/>
            <w:noWrap/>
            <w:vAlign w:val="center"/>
          </w:tcPr>
          <w:p>
            <w:pPr>
              <w:jc w:val="center"/>
              <w:rPr>
                <w:rFonts w:ascii="黑体" w:hAnsi="宋体" w:eastAsia="黑体" w:cs="黑体"/>
                <w:color w:val="000000"/>
                <w:sz w:val="24"/>
              </w:rPr>
            </w:pPr>
          </w:p>
        </w:tc>
        <w:tc>
          <w:tcPr>
            <w:tcW w:w="908" w:type="dxa"/>
            <w:gridSpan w:val="3"/>
            <w:tcBorders>
              <w:top w:val="nil"/>
              <w:left w:val="nil"/>
              <w:bottom w:val="nil"/>
              <w:right w:val="nil"/>
            </w:tcBorders>
            <w:shd w:val="clear" w:color="auto" w:fill="auto"/>
            <w:noWrap/>
            <w:vAlign w:val="center"/>
          </w:tcPr>
          <w:p>
            <w:pPr>
              <w:rPr>
                <w:rFonts w:ascii="黑体" w:hAnsi="宋体" w:eastAsia="黑体" w:cs="黑体"/>
                <w:color w:val="000000"/>
                <w:sz w:val="24"/>
              </w:rPr>
            </w:pPr>
          </w:p>
        </w:tc>
        <w:tc>
          <w:tcPr>
            <w:tcW w:w="1307" w:type="dxa"/>
            <w:gridSpan w:val="4"/>
            <w:tcBorders>
              <w:top w:val="nil"/>
              <w:left w:val="nil"/>
              <w:bottom w:val="nil"/>
              <w:right w:val="nil"/>
            </w:tcBorders>
            <w:shd w:val="clear" w:color="auto" w:fill="auto"/>
            <w:noWrap/>
            <w:vAlign w:val="center"/>
          </w:tcPr>
          <w:p>
            <w:pPr>
              <w:rPr>
                <w:rFonts w:ascii="黑体" w:hAnsi="宋体" w:eastAsia="黑体" w:cs="黑体"/>
                <w:color w:val="000000"/>
                <w:sz w:val="24"/>
              </w:rPr>
            </w:pPr>
          </w:p>
        </w:tc>
      </w:tr>
      <w:tr>
        <w:trPr>
          <w:gridAfter w:val="1"/>
          <w:wAfter w:w="501" w:type="dxa"/>
          <w:trHeight w:val="653" w:hRule="atLeast"/>
          <w:jc w:val="center"/>
        </w:trPr>
        <w:tc>
          <w:tcPr>
            <w:tcW w:w="1458" w:type="dxa"/>
            <w:tcBorders>
              <w:top w:val="nil"/>
              <w:left w:val="nil"/>
              <w:bottom w:val="nil"/>
              <w:right w:val="nil"/>
            </w:tcBorders>
          </w:tcPr>
          <w:p>
            <w:pPr>
              <w:widowControl/>
              <w:jc w:val="center"/>
              <w:textAlignment w:val="bottom"/>
              <w:rPr>
                <w:rFonts w:ascii="黑体" w:hAnsi="宋体" w:eastAsia="黑体" w:cs="黑体"/>
                <w:b/>
                <w:bCs/>
                <w:color w:val="000000"/>
                <w:kern w:val="0"/>
                <w:sz w:val="36"/>
                <w:szCs w:val="36"/>
              </w:rPr>
            </w:pPr>
          </w:p>
        </w:tc>
        <w:tc>
          <w:tcPr>
            <w:tcW w:w="7741" w:type="dxa"/>
            <w:gridSpan w:val="19"/>
            <w:tcBorders>
              <w:top w:val="nil"/>
              <w:left w:val="nil"/>
              <w:bottom w:val="nil"/>
              <w:right w:val="nil"/>
            </w:tcBorders>
            <w:shd w:val="clear" w:color="auto" w:fill="auto"/>
            <w:vAlign w:val="bottom"/>
          </w:tcPr>
          <w:p>
            <w:pPr>
              <w:widowControl/>
              <w:jc w:val="center"/>
              <w:textAlignment w:val="bottom"/>
              <w:rPr>
                <w:rFonts w:ascii="黑体" w:hAnsi="宋体" w:eastAsia="黑体" w:cs="黑体"/>
                <w:b/>
                <w:bCs/>
                <w:color w:val="000000"/>
                <w:sz w:val="36"/>
                <w:szCs w:val="36"/>
              </w:rPr>
            </w:pPr>
            <w:r>
              <w:rPr>
                <w:rFonts w:hint="eastAsia" w:ascii="黑体" w:hAnsi="宋体" w:eastAsia="黑体" w:cs="黑体"/>
                <w:b/>
                <w:bCs/>
                <w:color w:val="000000"/>
                <w:kern w:val="0"/>
                <w:sz w:val="36"/>
                <w:szCs w:val="36"/>
              </w:rPr>
              <w:t>2022年县级一般公共预算收入完成情况表</w:t>
            </w:r>
          </w:p>
        </w:tc>
      </w:tr>
      <w:tr>
        <w:tblPrEx>
          <w:tblCellMar>
            <w:top w:w="0" w:type="dxa"/>
            <w:left w:w="108" w:type="dxa"/>
            <w:bottom w:w="0" w:type="dxa"/>
            <w:right w:w="108" w:type="dxa"/>
          </w:tblCellMar>
        </w:tblPrEx>
        <w:trPr>
          <w:gridAfter w:val="1"/>
          <w:wAfter w:w="501" w:type="dxa"/>
          <w:trHeight w:val="326" w:hRule="atLeast"/>
          <w:jc w:val="center"/>
        </w:trPr>
        <w:tc>
          <w:tcPr>
            <w:tcW w:w="2647" w:type="dxa"/>
            <w:gridSpan w:val="3"/>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1600" w:type="dxa"/>
            <w:gridSpan w:val="3"/>
            <w:tcBorders>
              <w:top w:val="nil"/>
              <w:left w:val="nil"/>
              <w:bottom w:val="nil"/>
              <w:right w:val="nil"/>
            </w:tcBorders>
            <w:shd w:val="clear" w:color="auto" w:fill="auto"/>
            <w:noWrap/>
            <w:vAlign w:val="center"/>
          </w:tcPr>
          <w:p>
            <w:pPr>
              <w:jc w:val="center"/>
              <w:rPr>
                <w:rFonts w:ascii="黑体" w:hAnsi="宋体" w:eastAsia="黑体" w:cs="黑体"/>
                <w:color w:val="000000"/>
                <w:sz w:val="24"/>
              </w:rPr>
            </w:pPr>
          </w:p>
        </w:tc>
        <w:tc>
          <w:tcPr>
            <w:tcW w:w="710" w:type="dxa"/>
            <w:gridSpan w:val="2"/>
            <w:tcBorders>
              <w:top w:val="nil"/>
              <w:left w:val="nil"/>
              <w:bottom w:val="nil"/>
              <w:right w:val="nil"/>
            </w:tcBorders>
          </w:tcPr>
          <w:p>
            <w:pPr>
              <w:jc w:val="center"/>
              <w:rPr>
                <w:rFonts w:ascii="黑体" w:hAnsi="宋体" w:eastAsia="黑体" w:cs="黑体"/>
                <w:color w:val="000000"/>
                <w:sz w:val="24"/>
              </w:rPr>
            </w:pPr>
          </w:p>
        </w:tc>
        <w:tc>
          <w:tcPr>
            <w:tcW w:w="2027" w:type="dxa"/>
            <w:gridSpan w:val="5"/>
            <w:tcBorders>
              <w:top w:val="nil"/>
              <w:left w:val="nil"/>
              <w:bottom w:val="nil"/>
              <w:right w:val="nil"/>
            </w:tcBorders>
            <w:shd w:val="clear" w:color="auto" w:fill="auto"/>
            <w:noWrap/>
            <w:vAlign w:val="center"/>
          </w:tcPr>
          <w:p>
            <w:pPr>
              <w:jc w:val="center"/>
              <w:rPr>
                <w:rFonts w:ascii="黑体" w:hAnsi="宋体" w:eastAsia="黑体" w:cs="黑体"/>
                <w:color w:val="000000"/>
                <w:sz w:val="24"/>
              </w:rPr>
            </w:pPr>
          </w:p>
        </w:tc>
        <w:tc>
          <w:tcPr>
            <w:tcW w:w="908" w:type="dxa"/>
            <w:gridSpan w:val="3"/>
            <w:tcBorders>
              <w:top w:val="nil"/>
              <w:left w:val="nil"/>
              <w:bottom w:val="nil"/>
              <w:right w:val="nil"/>
            </w:tcBorders>
            <w:shd w:val="clear" w:color="auto" w:fill="auto"/>
            <w:noWrap/>
            <w:vAlign w:val="center"/>
          </w:tcPr>
          <w:p>
            <w:pPr>
              <w:rPr>
                <w:rFonts w:ascii="黑体" w:hAnsi="宋体" w:eastAsia="黑体" w:cs="黑体"/>
                <w:color w:val="000000"/>
                <w:sz w:val="24"/>
              </w:rPr>
            </w:pPr>
          </w:p>
        </w:tc>
        <w:tc>
          <w:tcPr>
            <w:tcW w:w="1307" w:type="dxa"/>
            <w:gridSpan w:val="4"/>
            <w:tcBorders>
              <w:top w:val="nil"/>
              <w:left w:val="nil"/>
              <w:bottom w:val="nil"/>
              <w:right w:val="nil"/>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单位:万元</w:t>
            </w:r>
          </w:p>
        </w:tc>
      </w:tr>
      <w:tr>
        <w:trPr>
          <w:gridAfter w:val="1"/>
          <w:wAfter w:w="501" w:type="dxa"/>
          <w:trHeight w:val="693"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w:t>
            </w:r>
          </w:p>
        </w:tc>
        <w:tc>
          <w:tcPr>
            <w:tcW w:w="16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2022年预算数</w:t>
            </w:r>
          </w:p>
        </w:tc>
        <w:tc>
          <w:tcPr>
            <w:tcW w:w="710" w:type="dxa"/>
            <w:gridSpan w:val="2"/>
            <w:tcBorders>
              <w:top w:val="single" w:color="000000" w:sz="4" w:space="0"/>
              <w:left w:val="nil"/>
              <w:bottom w:val="single" w:color="000000" w:sz="4" w:space="0"/>
              <w:right w:val="nil"/>
            </w:tcBorders>
          </w:tcPr>
          <w:p>
            <w:pPr>
              <w:widowControl/>
              <w:jc w:val="center"/>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2022年完成数</w:t>
            </w:r>
          </w:p>
        </w:tc>
        <w:tc>
          <w:tcPr>
            <w:tcW w:w="90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占预算%</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增长%</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一般预算收入合计</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183900</w:t>
            </w:r>
          </w:p>
        </w:tc>
        <w:tc>
          <w:tcPr>
            <w:tcW w:w="2737" w:type="dxa"/>
            <w:gridSpan w:val="7"/>
            <w:tcBorders>
              <w:top w:val="single" w:color="000000" w:sz="4" w:space="0"/>
              <w:left w:val="single" w:color="000000" w:sz="4" w:space="0"/>
              <w:bottom w:val="single" w:color="000000" w:sz="4" w:space="0"/>
              <w:right w:val="single" w:color="000000" w:sz="4" w:space="0"/>
            </w:tcBorders>
          </w:tcPr>
          <w:p>
            <w:pPr>
              <w:widowControl/>
              <w:ind w:firstLine="722" w:firstLineChars="300"/>
              <w:jc w:val="both"/>
              <w:textAlignment w:val="center"/>
              <w:rPr>
                <w:rFonts w:ascii="黑体" w:hAnsi="宋体" w:eastAsia="黑体" w:cs="黑体"/>
                <w:b/>
                <w:bCs/>
                <w:color w:val="000000"/>
                <w:sz w:val="24"/>
              </w:rPr>
            </w:pPr>
            <w:r>
              <w:rPr>
                <w:rFonts w:hint="eastAsia" w:ascii="黑体" w:hAnsi="宋体" w:eastAsia="黑体" w:cs="黑体"/>
                <w:b/>
                <w:bCs/>
                <w:color w:val="000000"/>
                <w:kern w:val="0"/>
                <w:sz w:val="24"/>
              </w:rPr>
              <w:t>204718</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111.3</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25.4</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b/>
                <w:bCs/>
                <w:color w:val="000000"/>
                <w:sz w:val="24"/>
              </w:rPr>
            </w:pPr>
            <w:r>
              <w:rPr>
                <w:rFonts w:hint="eastAsia" w:ascii="黑体" w:hAnsi="宋体" w:eastAsia="黑体" w:cs="黑体"/>
                <w:b/>
                <w:bCs/>
                <w:color w:val="000000"/>
                <w:kern w:val="0"/>
                <w:sz w:val="24"/>
              </w:rPr>
              <w:t>一、税收收入</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133900</w:t>
            </w:r>
          </w:p>
        </w:tc>
        <w:tc>
          <w:tcPr>
            <w:tcW w:w="2737" w:type="dxa"/>
            <w:gridSpan w:val="7"/>
            <w:tcBorders>
              <w:top w:val="single" w:color="000000" w:sz="4" w:space="0"/>
              <w:left w:val="single" w:color="000000" w:sz="4" w:space="0"/>
              <w:bottom w:val="single" w:color="000000" w:sz="4" w:space="0"/>
              <w:right w:val="single" w:color="000000" w:sz="4" w:space="0"/>
            </w:tcBorders>
          </w:tcPr>
          <w:p>
            <w:pPr>
              <w:widowControl/>
              <w:ind w:firstLine="722" w:firstLineChars="300"/>
              <w:jc w:val="both"/>
              <w:textAlignment w:val="center"/>
              <w:rPr>
                <w:rFonts w:ascii="黑体" w:hAnsi="宋体" w:eastAsia="黑体" w:cs="黑体"/>
                <w:b/>
                <w:bCs/>
                <w:color w:val="000000"/>
                <w:sz w:val="24"/>
              </w:rPr>
            </w:pPr>
            <w:r>
              <w:rPr>
                <w:rFonts w:hint="eastAsia" w:ascii="黑体" w:hAnsi="宋体" w:eastAsia="黑体" w:cs="黑体"/>
                <w:b/>
                <w:bCs/>
                <w:color w:val="000000"/>
                <w:kern w:val="0"/>
                <w:sz w:val="24"/>
              </w:rPr>
              <w:t>142223</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106.2</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23.3</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国内增值税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41000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45275</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110.4</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25.8</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企业所得税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14300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10191</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71.3</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-15.4</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个人所得税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25000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34929</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139.7</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57.0</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资源税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10000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4738</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47.4</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-25.1</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城市维护建设税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4600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3947</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85.8</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-1.2</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房产税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3200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4063</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127.0</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28.8</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印花税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4700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5904</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125.6</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32.9</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城镇土地使用税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5000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4580</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91.6</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2.2</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土地增值税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4000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6294</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157.4</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76.5</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环境保护税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795</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88.3</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24.2</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耕地占用税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9000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6035</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67.1</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-29.8</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契税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8500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11567</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136.1</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43.6</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烟叶税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1799</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90.0</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-2.9</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车船税</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1700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2106</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123.9</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b/>
                <w:bCs/>
                <w:color w:val="000000"/>
                <w:sz w:val="24"/>
              </w:rPr>
            </w:pPr>
            <w:r>
              <w:rPr>
                <w:rFonts w:hint="eastAsia" w:ascii="黑体" w:hAnsi="宋体" w:eastAsia="黑体" w:cs="黑体"/>
                <w:b/>
                <w:bCs/>
                <w:color w:val="000000"/>
                <w:kern w:val="0"/>
                <w:sz w:val="24"/>
              </w:rPr>
              <w:t>二、非税收入小计</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50000</w:t>
            </w:r>
          </w:p>
        </w:tc>
        <w:tc>
          <w:tcPr>
            <w:tcW w:w="2737" w:type="dxa"/>
            <w:gridSpan w:val="7"/>
            <w:tcBorders>
              <w:top w:val="single" w:color="000000" w:sz="4" w:space="0"/>
              <w:left w:val="single" w:color="000000" w:sz="4" w:space="0"/>
              <w:bottom w:val="single" w:color="000000" w:sz="4" w:space="0"/>
              <w:right w:val="single" w:color="000000" w:sz="4" w:space="0"/>
            </w:tcBorders>
          </w:tcPr>
          <w:p>
            <w:pPr>
              <w:widowControl/>
              <w:ind w:firstLine="481" w:firstLineChars="200"/>
              <w:jc w:val="both"/>
              <w:textAlignment w:val="center"/>
              <w:rPr>
                <w:rFonts w:ascii="黑体" w:hAnsi="宋体" w:eastAsia="黑体" w:cs="黑体"/>
                <w:b/>
                <w:bCs/>
                <w:color w:val="000000"/>
                <w:sz w:val="24"/>
              </w:rPr>
            </w:pPr>
            <w:r>
              <w:rPr>
                <w:rFonts w:hint="eastAsia" w:ascii="黑体" w:hAnsi="宋体" w:eastAsia="黑体" w:cs="黑体"/>
                <w:b/>
                <w:bCs/>
                <w:color w:val="000000"/>
                <w:kern w:val="0"/>
                <w:sz w:val="24"/>
              </w:rPr>
              <w:t>62495</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125.0</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30.8</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专项收入</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5650</w:t>
            </w:r>
          </w:p>
        </w:tc>
        <w:tc>
          <w:tcPr>
            <w:tcW w:w="2737" w:type="dxa"/>
            <w:gridSpan w:val="7"/>
            <w:tcBorders>
              <w:top w:val="single" w:color="000000" w:sz="4" w:space="0"/>
              <w:left w:val="single" w:color="000000" w:sz="4" w:space="0"/>
              <w:bottom w:val="single" w:color="000000" w:sz="4" w:space="0"/>
              <w:right w:val="single" w:color="000000" w:sz="4" w:space="0"/>
            </w:tcBorders>
          </w:tcPr>
          <w:p>
            <w:pPr>
              <w:widowControl/>
              <w:ind w:firstLine="720" w:firstLineChars="300"/>
              <w:jc w:val="both"/>
              <w:textAlignment w:val="center"/>
              <w:rPr>
                <w:rFonts w:ascii="黑体" w:hAnsi="宋体" w:eastAsia="黑体" w:cs="黑体"/>
                <w:color w:val="000000"/>
                <w:sz w:val="24"/>
              </w:rPr>
            </w:pPr>
            <w:r>
              <w:rPr>
                <w:rFonts w:hint="eastAsia" w:ascii="黑体" w:hAnsi="宋体" w:eastAsia="黑体" w:cs="黑体"/>
                <w:color w:val="000000"/>
                <w:kern w:val="0"/>
                <w:sz w:val="24"/>
              </w:rPr>
              <w:t>3497</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61.9</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-35.6</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行政事业性收费收入</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7500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3316</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44.2</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-58.3</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罚没收入</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13800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7487</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54.3</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-28.9</w:t>
            </w:r>
          </w:p>
        </w:tc>
      </w:tr>
      <w:tr>
        <w:tblPrEx>
          <w:tblCellMar>
            <w:top w:w="0" w:type="dxa"/>
            <w:left w:w="108" w:type="dxa"/>
            <w:bottom w:w="0" w:type="dxa"/>
            <w:right w:w="108" w:type="dxa"/>
          </w:tblCellMar>
        </w:tblPrEx>
        <w:trPr>
          <w:gridAfter w:val="1"/>
          <w:wAfter w:w="501" w:type="dxa"/>
          <w:trHeight w:val="693"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国有资源（资产）有偿使用收入</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22650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47049</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207.7</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131.1</w:t>
            </w:r>
          </w:p>
        </w:tc>
      </w:tr>
      <w:tr>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政府住房基金收入</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248</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124.0</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7.8</w:t>
            </w:r>
          </w:p>
        </w:tc>
      </w:tr>
      <w:tr>
        <w:tblPrEx>
          <w:tblCellMar>
            <w:top w:w="0" w:type="dxa"/>
            <w:left w:w="108" w:type="dxa"/>
            <w:bottom w:w="0" w:type="dxa"/>
            <w:right w:w="108" w:type="dxa"/>
          </w:tblCellMar>
        </w:tblPrEx>
        <w:trPr>
          <w:gridAfter w:val="1"/>
          <w:wAfter w:w="501" w:type="dxa"/>
          <w:trHeight w:val="437"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捐赠收入</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200</w:t>
            </w: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679</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339.5</w:t>
            </w: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-55.2</w:t>
            </w:r>
          </w:p>
        </w:tc>
      </w:tr>
      <w:tr>
        <w:trPr>
          <w:gridAfter w:val="1"/>
          <w:wAfter w:w="501" w:type="dxa"/>
          <w:trHeight w:val="464"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其他收入</w:t>
            </w:r>
          </w:p>
        </w:tc>
        <w:tc>
          <w:tcPr>
            <w:tcW w:w="1600" w:type="dxa"/>
            <w:gridSpan w:val="3"/>
            <w:tcBorders>
              <w:top w:val="single" w:color="000000" w:sz="4" w:space="0"/>
              <w:left w:val="nil"/>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rPr>
            </w:pPr>
          </w:p>
        </w:tc>
        <w:tc>
          <w:tcPr>
            <w:tcW w:w="710" w:type="dxa"/>
            <w:gridSpan w:val="2"/>
            <w:tcBorders>
              <w:top w:val="single" w:color="000000" w:sz="4" w:space="0"/>
              <w:left w:val="nil"/>
              <w:bottom w:val="single" w:color="000000" w:sz="4" w:space="0"/>
              <w:right w:val="nil"/>
            </w:tcBorders>
          </w:tcPr>
          <w:p>
            <w:pPr>
              <w:widowControl/>
              <w:jc w:val="both"/>
              <w:textAlignment w:val="center"/>
              <w:rPr>
                <w:rFonts w:ascii="黑体" w:hAnsi="宋体" w:eastAsia="黑体" w:cs="黑体"/>
                <w:color w:val="000000"/>
                <w:kern w:val="0"/>
                <w:sz w:val="24"/>
              </w:rPr>
            </w:pPr>
          </w:p>
        </w:tc>
        <w:tc>
          <w:tcPr>
            <w:tcW w:w="2027"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both"/>
              <w:textAlignment w:val="center"/>
              <w:rPr>
                <w:rFonts w:ascii="黑体" w:hAnsi="宋体" w:eastAsia="黑体" w:cs="黑体"/>
                <w:color w:val="000000"/>
                <w:sz w:val="24"/>
              </w:rPr>
            </w:pPr>
            <w:r>
              <w:rPr>
                <w:rFonts w:hint="eastAsia" w:ascii="黑体" w:hAnsi="宋体" w:eastAsia="黑体" w:cs="黑体"/>
                <w:color w:val="000000"/>
                <w:kern w:val="0"/>
                <w:sz w:val="24"/>
              </w:rPr>
              <w:t>219</w:t>
            </w:r>
          </w:p>
        </w:tc>
        <w:tc>
          <w:tcPr>
            <w:tcW w:w="90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textAlignment w:val="center"/>
              <w:rPr>
                <w:rFonts w:ascii="黑体" w:hAnsi="宋体" w:eastAsia="黑体" w:cs="黑体"/>
                <w:color w:val="000000"/>
                <w:sz w:val="24"/>
              </w:rPr>
            </w:pPr>
          </w:p>
        </w:tc>
        <w:tc>
          <w:tcPr>
            <w:tcW w:w="130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-77.7</w:t>
            </w:r>
          </w:p>
        </w:tc>
      </w:tr>
      <w:tr>
        <w:tblPrEx>
          <w:tblCellMar>
            <w:top w:w="0" w:type="dxa"/>
            <w:left w:w="108" w:type="dxa"/>
            <w:bottom w:w="0" w:type="dxa"/>
            <w:right w:w="108" w:type="dxa"/>
          </w:tblCellMar>
        </w:tblPrEx>
        <w:trPr>
          <w:trHeight w:val="590" w:hRule="atLeast"/>
          <w:jc w:val="center"/>
        </w:trPr>
        <w:tc>
          <w:tcPr>
            <w:tcW w:w="2647" w:type="dxa"/>
            <w:gridSpan w:val="3"/>
            <w:tcBorders>
              <w:top w:val="nil"/>
              <w:left w:val="nil"/>
              <w:bottom w:val="nil"/>
              <w:right w:val="nil"/>
            </w:tcBorders>
            <w:shd w:val="clear" w:color="auto" w:fill="auto"/>
            <w:noWrap/>
            <w:vAlign w:val="center"/>
          </w:tcPr>
          <w:p>
            <w:pPr>
              <w:pStyle w:val="2"/>
              <w:spacing w:before="156" w:after="156"/>
              <w:rPr>
                <w:rFonts w:hint="eastAsia" w:eastAsia="楷体_GB2312"/>
                <w:lang w:eastAsia="zh-CN"/>
              </w:rPr>
            </w:pPr>
            <w:r>
              <w:rPr>
                <w:rFonts w:hint="eastAsia" w:ascii="黑体" w:hAnsi="宋体" w:eastAsia="黑体" w:cs="黑体"/>
                <w:b w:val="0"/>
                <w:color w:val="000000"/>
                <w:kern w:val="0"/>
                <w:sz w:val="24"/>
                <w:szCs w:val="24"/>
                <w:lang w:val="en-US" w:eastAsia="zh-CN" w:bidi="ar-SA"/>
              </w:rPr>
              <w:t>附表二</w:t>
            </w:r>
          </w:p>
        </w:tc>
        <w:tc>
          <w:tcPr>
            <w:tcW w:w="1600" w:type="dxa"/>
            <w:gridSpan w:val="3"/>
            <w:tcBorders>
              <w:top w:val="nil"/>
              <w:left w:val="nil"/>
              <w:bottom w:val="nil"/>
              <w:right w:val="nil"/>
            </w:tcBorders>
            <w:shd w:val="clear" w:color="auto" w:fill="auto"/>
            <w:noWrap/>
            <w:vAlign w:val="center"/>
          </w:tcPr>
          <w:p>
            <w:pPr>
              <w:rPr>
                <w:rFonts w:ascii="黑体" w:hAnsi="宋体" w:eastAsia="黑体" w:cs="黑体"/>
                <w:color w:val="000000"/>
                <w:sz w:val="24"/>
              </w:rPr>
            </w:pPr>
          </w:p>
        </w:tc>
        <w:tc>
          <w:tcPr>
            <w:tcW w:w="867" w:type="dxa"/>
            <w:gridSpan w:val="3"/>
            <w:tcBorders>
              <w:top w:val="nil"/>
              <w:left w:val="nil"/>
              <w:bottom w:val="nil"/>
              <w:right w:val="nil"/>
            </w:tcBorders>
          </w:tcPr>
          <w:p>
            <w:pPr>
              <w:jc w:val="center"/>
              <w:rPr>
                <w:rFonts w:ascii="黑体" w:hAnsi="宋体" w:eastAsia="黑体" w:cs="黑体"/>
                <w:color w:val="000000"/>
                <w:sz w:val="24"/>
              </w:rPr>
            </w:pPr>
          </w:p>
        </w:tc>
        <w:tc>
          <w:tcPr>
            <w:tcW w:w="2479" w:type="dxa"/>
            <w:gridSpan w:val="5"/>
            <w:tcBorders>
              <w:top w:val="nil"/>
              <w:left w:val="nil"/>
              <w:bottom w:val="nil"/>
              <w:right w:val="nil"/>
            </w:tcBorders>
            <w:shd w:val="clear" w:color="auto" w:fill="auto"/>
            <w:noWrap/>
            <w:vAlign w:val="center"/>
          </w:tcPr>
          <w:p>
            <w:pPr>
              <w:jc w:val="center"/>
              <w:rPr>
                <w:rFonts w:ascii="黑体" w:hAnsi="宋体" w:eastAsia="黑体" w:cs="黑体"/>
                <w:color w:val="000000"/>
                <w:sz w:val="24"/>
              </w:rPr>
            </w:pPr>
          </w:p>
        </w:tc>
        <w:tc>
          <w:tcPr>
            <w:tcW w:w="1032" w:type="dxa"/>
            <w:gridSpan w:val="3"/>
            <w:tcBorders>
              <w:top w:val="nil"/>
              <w:left w:val="nil"/>
              <w:bottom w:val="nil"/>
              <w:right w:val="nil"/>
            </w:tcBorders>
            <w:shd w:val="clear" w:color="auto" w:fill="auto"/>
            <w:noWrap/>
            <w:vAlign w:val="center"/>
          </w:tcPr>
          <w:p>
            <w:pPr>
              <w:rPr>
                <w:rFonts w:ascii="黑体" w:hAnsi="宋体" w:eastAsia="黑体" w:cs="黑体"/>
                <w:color w:val="000000"/>
                <w:sz w:val="24"/>
              </w:rPr>
            </w:pPr>
          </w:p>
        </w:tc>
        <w:tc>
          <w:tcPr>
            <w:tcW w:w="1075" w:type="dxa"/>
            <w:gridSpan w:val="4"/>
            <w:tcBorders>
              <w:top w:val="nil"/>
              <w:left w:val="nil"/>
              <w:bottom w:val="nil"/>
              <w:right w:val="nil"/>
            </w:tcBorders>
            <w:shd w:val="clear" w:color="auto" w:fill="auto"/>
            <w:noWrap/>
            <w:vAlign w:val="center"/>
          </w:tcPr>
          <w:p>
            <w:pPr>
              <w:rPr>
                <w:rFonts w:ascii="黑体" w:hAnsi="宋体" w:eastAsia="黑体" w:cs="黑体"/>
                <w:color w:val="000000"/>
                <w:sz w:val="24"/>
              </w:rPr>
            </w:pPr>
          </w:p>
        </w:tc>
      </w:tr>
      <w:tr>
        <w:trPr>
          <w:trHeight w:val="691" w:hRule="atLeast"/>
          <w:jc w:val="center"/>
        </w:trPr>
        <w:tc>
          <w:tcPr>
            <w:tcW w:w="1458" w:type="dxa"/>
            <w:tcBorders>
              <w:top w:val="nil"/>
              <w:left w:val="nil"/>
              <w:bottom w:val="nil"/>
              <w:right w:val="nil"/>
            </w:tcBorders>
          </w:tcPr>
          <w:p>
            <w:pPr>
              <w:widowControl/>
              <w:jc w:val="both"/>
              <w:textAlignment w:val="center"/>
              <w:rPr>
                <w:rFonts w:ascii="黑体" w:hAnsi="宋体" w:eastAsia="黑体" w:cs="黑体"/>
                <w:color w:val="000000"/>
                <w:kern w:val="0"/>
                <w:sz w:val="36"/>
                <w:szCs w:val="36"/>
              </w:rPr>
            </w:pPr>
          </w:p>
        </w:tc>
        <w:tc>
          <w:tcPr>
            <w:tcW w:w="8242" w:type="dxa"/>
            <w:gridSpan w:val="20"/>
            <w:tcBorders>
              <w:top w:val="nil"/>
              <w:left w:val="nil"/>
              <w:bottom w:val="nil"/>
              <w:right w:val="nil"/>
            </w:tcBorders>
            <w:shd w:val="clear" w:color="auto" w:fill="auto"/>
            <w:noWrap/>
            <w:vAlign w:val="center"/>
          </w:tcPr>
          <w:p>
            <w:pPr>
              <w:widowControl/>
              <w:jc w:val="both"/>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2022年县级一般公共预算支出完成情况表</w:t>
            </w:r>
          </w:p>
        </w:tc>
      </w:tr>
      <w:tr>
        <w:tblPrEx>
          <w:tblCellMar>
            <w:top w:w="0" w:type="dxa"/>
            <w:left w:w="108" w:type="dxa"/>
            <w:bottom w:w="0" w:type="dxa"/>
            <w:right w:w="108" w:type="dxa"/>
          </w:tblCellMar>
        </w:tblPrEx>
        <w:trPr>
          <w:trHeight w:val="480" w:hRule="atLeast"/>
          <w:jc w:val="center"/>
        </w:trPr>
        <w:tc>
          <w:tcPr>
            <w:tcW w:w="2647" w:type="dxa"/>
            <w:gridSpan w:val="3"/>
            <w:tcBorders>
              <w:top w:val="nil"/>
              <w:left w:val="nil"/>
              <w:bottom w:val="nil"/>
              <w:right w:val="nil"/>
            </w:tcBorders>
            <w:shd w:val="clear" w:color="auto" w:fill="auto"/>
            <w:noWrap/>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1600" w:type="dxa"/>
            <w:gridSpan w:val="3"/>
            <w:tcBorders>
              <w:top w:val="nil"/>
              <w:left w:val="nil"/>
              <w:bottom w:val="nil"/>
              <w:right w:val="nil"/>
            </w:tcBorders>
            <w:shd w:val="clear" w:color="auto" w:fill="auto"/>
            <w:noWrap/>
            <w:vAlign w:val="center"/>
          </w:tcPr>
          <w:p>
            <w:pPr>
              <w:jc w:val="center"/>
              <w:rPr>
                <w:rFonts w:ascii="黑体" w:hAnsi="宋体" w:eastAsia="黑体" w:cs="黑体"/>
                <w:color w:val="000000"/>
                <w:sz w:val="24"/>
              </w:rPr>
            </w:pPr>
          </w:p>
        </w:tc>
        <w:tc>
          <w:tcPr>
            <w:tcW w:w="867" w:type="dxa"/>
            <w:gridSpan w:val="3"/>
            <w:tcBorders>
              <w:top w:val="nil"/>
              <w:left w:val="nil"/>
              <w:bottom w:val="nil"/>
              <w:right w:val="nil"/>
            </w:tcBorders>
          </w:tcPr>
          <w:p>
            <w:pPr>
              <w:jc w:val="center"/>
              <w:rPr>
                <w:rFonts w:ascii="黑体" w:hAnsi="宋体" w:eastAsia="黑体" w:cs="黑体"/>
                <w:color w:val="000000"/>
                <w:sz w:val="24"/>
              </w:rPr>
            </w:pPr>
          </w:p>
        </w:tc>
        <w:tc>
          <w:tcPr>
            <w:tcW w:w="2479" w:type="dxa"/>
            <w:gridSpan w:val="5"/>
            <w:tcBorders>
              <w:top w:val="nil"/>
              <w:left w:val="nil"/>
              <w:bottom w:val="nil"/>
              <w:right w:val="nil"/>
            </w:tcBorders>
            <w:shd w:val="clear" w:color="auto" w:fill="auto"/>
            <w:noWrap/>
            <w:vAlign w:val="center"/>
          </w:tcPr>
          <w:p>
            <w:pPr>
              <w:jc w:val="center"/>
              <w:rPr>
                <w:rFonts w:ascii="黑体" w:hAnsi="宋体" w:eastAsia="黑体" w:cs="黑体"/>
                <w:color w:val="000000"/>
                <w:sz w:val="24"/>
              </w:rPr>
            </w:pPr>
          </w:p>
        </w:tc>
        <w:tc>
          <w:tcPr>
            <w:tcW w:w="2107" w:type="dxa"/>
            <w:gridSpan w:val="7"/>
            <w:tcBorders>
              <w:top w:val="nil"/>
              <w:left w:val="nil"/>
              <w:bottom w:val="nil"/>
              <w:right w:val="nil"/>
            </w:tcBorders>
            <w:shd w:val="clear" w:color="auto" w:fill="auto"/>
            <w:noWrap/>
            <w:vAlign w:val="center"/>
          </w:tcPr>
          <w:p>
            <w:pPr>
              <w:widowControl/>
              <w:jc w:val="both"/>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单位:万元</w:t>
            </w:r>
          </w:p>
        </w:tc>
      </w:tr>
      <w:tr>
        <w:trPr>
          <w:gridAfter w:val="3"/>
          <w:wAfter w:w="953" w:type="dxa"/>
          <w:trHeight w:val="576"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调整预算数</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占预算%</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增长%</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一般预算支出合计</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456935</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385123</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84.3</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b/>
                <w:color w:val="000000"/>
                <w:sz w:val="24"/>
              </w:rPr>
            </w:pPr>
            <w:r>
              <w:rPr>
                <w:rFonts w:hint="eastAsia" w:ascii="黑体" w:hAnsi="宋体" w:eastAsia="黑体" w:cs="黑体"/>
                <w:b/>
                <w:color w:val="000000"/>
                <w:kern w:val="0"/>
                <w:sz w:val="24"/>
              </w:rPr>
              <w:t>-11.2</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一般公共服务</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26210</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24839</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94.8</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-25.1</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sz w:val="22"/>
                <w:szCs w:val="22"/>
              </w:rPr>
            </w:pPr>
            <w:r>
              <w:rPr>
                <w:rFonts w:hint="eastAsia" w:ascii="黑体" w:hAnsi="宋体" w:eastAsia="黑体" w:cs="黑体"/>
                <w:kern w:val="0"/>
                <w:sz w:val="22"/>
                <w:szCs w:val="22"/>
              </w:rPr>
              <w:t>公共安全</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14332</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12565</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87.7</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sz w:val="24"/>
              </w:rPr>
            </w:pPr>
            <w:r>
              <w:rPr>
                <w:rFonts w:hint="eastAsia" w:ascii="黑体" w:hAnsi="宋体" w:eastAsia="黑体" w:cs="黑体"/>
                <w:kern w:val="0"/>
                <w:sz w:val="24"/>
              </w:rPr>
              <w:t>-20.9</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教育</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117423</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105922</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90.2</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0.6</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科学技术</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8493</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8065</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95.0</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21.9</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文化旅游体育与传媒</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5729</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4830</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84.3</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1.1</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社会保障和就业</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61707</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58359</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94.6</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-2.2</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卫生健康</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54871</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53641</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97.8</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-12.7</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节能环保</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36892</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23898</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64.8</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-13.6</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城乡社区</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3143</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3143</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100.0</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-21.8</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农林水</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79407</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55482</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70.0</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-26.6</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交通运输</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19183</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10176</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53.0</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-0.7</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资源勘探工业信息等</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5073</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5073</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100.0</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-5.6</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商业服务业等</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1183</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965</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81.6</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-27.7</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金融支出</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19</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19</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100.0</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-97.5</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自然资源海洋气象等</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2087</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2087</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100.0</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-3.5</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住房保障支出</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8345</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6991</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83.8</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15.0</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粮油物资储备</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1351</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1289</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95.4</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-40.8</w:t>
            </w:r>
          </w:p>
        </w:tc>
      </w:tr>
      <w:tr>
        <w:tblPrEx>
          <w:tblCellMar>
            <w:top w:w="0" w:type="dxa"/>
            <w:left w:w="108" w:type="dxa"/>
            <w:bottom w:w="0" w:type="dxa"/>
            <w:right w:w="108" w:type="dxa"/>
          </w:tblCellMar>
        </w:tblPrEx>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灾害防治及应急管理</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5789</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2081</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35.9</w:t>
            </w: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-29.4</w:t>
            </w:r>
          </w:p>
        </w:tc>
      </w:tr>
      <w:tr>
        <w:trPr>
          <w:gridAfter w:val="3"/>
          <w:wAfter w:w="953" w:type="dxa"/>
          <w:trHeight w:val="545" w:hRule="atLeast"/>
          <w:jc w:val="center"/>
        </w:trPr>
        <w:tc>
          <w:tcPr>
            <w:tcW w:w="2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债务付息</w:t>
            </w:r>
          </w:p>
        </w:tc>
        <w:tc>
          <w:tcPr>
            <w:tcW w:w="16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5698</w:t>
            </w:r>
          </w:p>
        </w:tc>
        <w:tc>
          <w:tcPr>
            <w:tcW w:w="16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5698</w:t>
            </w:r>
          </w:p>
        </w:tc>
        <w:tc>
          <w:tcPr>
            <w:tcW w:w="1671" w:type="dxa"/>
            <w:gridSpan w:val="2"/>
            <w:tcBorders>
              <w:top w:val="single" w:color="000000" w:sz="4" w:space="0"/>
              <w:left w:val="nil"/>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rPr>
            </w:pPr>
          </w:p>
        </w:tc>
        <w:tc>
          <w:tcPr>
            <w:tcW w:w="11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1.0</w:t>
            </w:r>
          </w:p>
        </w:tc>
      </w:tr>
      <w:tr>
        <w:tblPrEx>
          <w:tblCellMar>
            <w:top w:w="0" w:type="dxa"/>
            <w:left w:w="108" w:type="dxa"/>
            <w:bottom w:w="0" w:type="dxa"/>
            <w:right w:w="108" w:type="dxa"/>
          </w:tblCellMar>
        </w:tblPrEx>
        <w:trPr>
          <w:gridAfter w:val="2"/>
          <w:wAfter w:w="835" w:type="dxa"/>
          <w:trHeight w:val="330" w:hRule="atLeast"/>
          <w:jc w:val="center"/>
        </w:trPr>
        <w:tc>
          <w:tcPr>
            <w:tcW w:w="3066" w:type="dxa"/>
            <w:gridSpan w:val="4"/>
            <w:tcBorders>
              <w:top w:val="nil"/>
              <w:left w:val="nil"/>
              <w:bottom w:val="nil"/>
              <w:right w:val="nil"/>
            </w:tcBorders>
            <w:shd w:val="clear" w:color="auto" w:fill="auto"/>
            <w:noWrap/>
            <w:vAlign w:val="bottom"/>
          </w:tcPr>
          <w:p>
            <w:pPr>
              <w:pStyle w:val="2"/>
              <w:spacing w:before="156" w:after="156"/>
            </w:pPr>
          </w:p>
          <w:p>
            <w:pPr>
              <w:widowControl/>
              <w:jc w:val="left"/>
              <w:textAlignment w:val="bottom"/>
              <w:rPr>
                <w:rFonts w:ascii="黑体" w:hAnsi="宋体" w:eastAsia="黑体" w:cs="黑体"/>
                <w:color w:val="000000"/>
                <w:sz w:val="24"/>
              </w:rPr>
            </w:pPr>
            <w:r>
              <w:rPr>
                <w:rFonts w:hint="eastAsia" w:ascii="黑体" w:hAnsi="宋体" w:eastAsia="黑体" w:cs="黑体"/>
                <w:color w:val="000000"/>
                <w:kern w:val="0"/>
                <w:sz w:val="24"/>
              </w:rPr>
              <w:t>附表三</w:t>
            </w:r>
          </w:p>
        </w:tc>
        <w:tc>
          <w:tcPr>
            <w:tcW w:w="1296" w:type="dxa"/>
            <w:gridSpan w:val="3"/>
            <w:tcBorders>
              <w:top w:val="nil"/>
              <w:left w:val="nil"/>
              <w:bottom w:val="nil"/>
              <w:right w:val="nil"/>
            </w:tcBorders>
            <w:shd w:val="clear" w:color="auto" w:fill="auto"/>
            <w:noWrap/>
            <w:vAlign w:val="bottom"/>
          </w:tcPr>
          <w:p>
            <w:pPr>
              <w:rPr>
                <w:rFonts w:ascii="黑体" w:hAnsi="宋体" w:eastAsia="黑体" w:cs="黑体"/>
                <w:color w:val="000000"/>
                <w:sz w:val="24"/>
              </w:rPr>
            </w:pPr>
          </w:p>
        </w:tc>
        <w:tc>
          <w:tcPr>
            <w:tcW w:w="1360" w:type="dxa"/>
            <w:gridSpan w:val="4"/>
            <w:tcBorders>
              <w:top w:val="nil"/>
              <w:left w:val="nil"/>
              <w:bottom w:val="nil"/>
              <w:right w:val="nil"/>
            </w:tcBorders>
          </w:tcPr>
          <w:p>
            <w:pPr>
              <w:rPr>
                <w:rFonts w:ascii="黑体" w:hAnsi="宋体" w:eastAsia="黑体" w:cs="黑体"/>
                <w:color w:val="000000"/>
                <w:sz w:val="24"/>
              </w:rPr>
            </w:pPr>
          </w:p>
        </w:tc>
        <w:tc>
          <w:tcPr>
            <w:tcW w:w="1874" w:type="dxa"/>
            <w:gridSpan w:val="4"/>
            <w:tcBorders>
              <w:top w:val="nil"/>
              <w:left w:val="nil"/>
              <w:bottom w:val="nil"/>
              <w:right w:val="nil"/>
            </w:tcBorders>
            <w:shd w:val="clear" w:color="auto" w:fill="auto"/>
            <w:noWrap/>
            <w:vAlign w:val="bottom"/>
          </w:tcPr>
          <w:p>
            <w:pPr>
              <w:rPr>
                <w:rFonts w:ascii="黑体" w:hAnsi="宋体" w:eastAsia="黑体" w:cs="黑体"/>
                <w:color w:val="000000"/>
                <w:sz w:val="24"/>
              </w:rPr>
            </w:pPr>
          </w:p>
        </w:tc>
        <w:tc>
          <w:tcPr>
            <w:tcW w:w="1029" w:type="dxa"/>
            <w:gridSpan w:val="2"/>
            <w:tcBorders>
              <w:top w:val="nil"/>
              <w:left w:val="nil"/>
              <w:bottom w:val="nil"/>
              <w:right w:val="nil"/>
            </w:tcBorders>
            <w:shd w:val="clear" w:color="auto" w:fill="auto"/>
            <w:noWrap/>
            <w:vAlign w:val="bottom"/>
          </w:tcPr>
          <w:p>
            <w:pPr>
              <w:rPr>
                <w:rFonts w:ascii="黑体" w:hAnsi="宋体" w:eastAsia="黑体" w:cs="黑体"/>
                <w:color w:val="000000"/>
                <w:sz w:val="24"/>
              </w:rPr>
            </w:pPr>
          </w:p>
        </w:tc>
        <w:tc>
          <w:tcPr>
            <w:tcW w:w="240" w:type="dxa"/>
            <w:gridSpan w:val="2"/>
            <w:tcBorders>
              <w:top w:val="nil"/>
              <w:left w:val="nil"/>
              <w:bottom w:val="nil"/>
              <w:right w:val="nil"/>
            </w:tcBorders>
            <w:shd w:val="clear" w:color="auto" w:fill="auto"/>
            <w:noWrap/>
            <w:vAlign w:val="bottom"/>
          </w:tcPr>
          <w:p>
            <w:pPr>
              <w:rPr>
                <w:rFonts w:ascii="黑体" w:hAnsi="宋体" w:eastAsia="黑体" w:cs="黑体"/>
                <w:color w:val="000000"/>
                <w:sz w:val="24"/>
              </w:rPr>
            </w:pPr>
          </w:p>
        </w:tc>
      </w:tr>
      <w:tr>
        <w:trPr>
          <w:gridAfter w:val="2"/>
          <w:wAfter w:w="835" w:type="dxa"/>
          <w:trHeight w:val="640" w:hRule="atLeast"/>
          <w:jc w:val="center"/>
        </w:trPr>
        <w:tc>
          <w:tcPr>
            <w:tcW w:w="1458" w:type="dxa"/>
            <w:tcBorders>
              <w:top w:val="nil"/>
              <w:left w:val="nil"/>
              <w:bottom w:val="nil"/>
              <w:right w:val="nil"/>
            </w:tcBorders>
          </w:tcPr>
          <w:p>
            <w:pPr>
              <w:widowControl/>
              <w:jc w:val="center"/>
              <w:textAlignment w:val="bottom"/>
              <w:rPr>
                <w:rFonts w:ascii="黑体" w:hAnsi="宋体" w:eastAsia="黑体" w:cs="黑体"/>
                <w:b/>
                <w:bCs/>
                <w:color w:val="000000"/>
                <w:kern w:val="0"/>
                <w:sz w:val="36"/>
                <w:szCs w:val="36"/>
              </w:rPr>
            </w:pPr>
          </w:p>
        </w:tc>
        <w:tc>
          <w:tcPr>
            <w:tcW w:w="7407" w:type="dxa"/>
            <w:gridSpan w:val="18"/>
            <w:tcBorders>
              <w:top w:val="nil"/>
              <w:left w:val="nil"/>
              <w:bottom w:val="nil"/>
              <w:right w:val="nil"/>
            </w:tcBorders>
            <w:shd w:val="clear" w:color="auto" w:fill="auto"/>
            <w:noWrap/>
            <w:vAlign w:val="bottom"/>
          </w:tcPr>
          <w:p>
            <w:pPr>
              <w:widowControl/>
              <w:jc w:val="center"/>
              <w:textAlignment w:val="bottom"/>
              <w:rPr>
                <w:rFonts w:ascii="黑体" w:hAnsi="宋体" w:eastAsia="黑体" w:cs="黑体"/>
                <w:b/>
                <w:bCs/>
                <w:color w:val="000000"/>
                <w:sz w:val="36"/>
                <w:szCs w:val="36"/>
              </w:rPr>
            </w:pPr>
            <w:r>
              <w:rPr>
                <w:rFonts w:hint="eastAsia" w:ascii="黑体" w:hAnsi="宋体" w:eastAsia="黑体" w:cs="黑体"/>
                <w:b/>
                <w:bCs/>
                <w:color w:val="000000"/>
                <w:kern w:val="0"/>
                <w:sz w:val="36"/>
                <w:szCs w:val="36"/>
              </w:rPr>
              <w:t>2022年政府性基金预算收入完成情况表</w:t>
            </w:r>
          </w:p>
        </w:tc>
      </w:tr>
      <w:tr>
        <w:tblPrEx>
          <w:tblCellMar>
            <w:top w:w="0" w:type="dxa"/>
            <w:left w:w="108" w:type="dxa"/>
            <w:bottom w:w="0" w:type="dxa"/>
            <w:right w:w="108" w:type="dxa"/>
          </w:tblCellMar>
        </w:tblPrEx>
        <w:trPr>
          <w:gridAfter w:val="2"/>
          <w:wAfter w:w="835" w:type="dxa"/>
          <w:trHeight w:val="695" w:hRule="atLeast"/>
          <w:jc w:val="center"/>
        </w:trPr>
        <w:tc>
          <w:tcPr>
            <w:tcW w:w="2017" w:type="dxa"/>
            <w:gridSpan w:val="2"/>
            <w:tcBorders>
              <w:top w:val="nil"/>
              <w:left w:val="nil"/>
              <w:bottom w:val="nil"/>
              <w:right w:val="nil"/>
            </w:tcBorders>
            <w:shd w:val="clear" w:color="auto" w:fill="auto"/>
            <w:noWrap/>
            <w:vAlign w:val="bottom"/>
          </w:tcPr>
          <w:p>
            <w:pPr>
              <w:widowControl/>
              <w:jc w:val="left"/>
              <w:textAlignment w:val="bottom"/>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1200" w:type="dxa"/>
            <w:gridSpan w:val="3"/>
            <w:tcBorders>
              <w:top w:val="nil"/>
              <w:left w:val="nil"/>
              <w:bottom w:val="nil"/>
              <w:right w:val="nil"/>
            </w:tcBorders>
            <w:shd w:val="clear" w:color="auto" w:fill="auto"/>
            <w:noWrap/>
            <w:vAlign w:val="bottom"/>
          </w:tcPr>
          <w:p>
            <w:pPr>
              <w:jc w:val="left"/>
              <w:rPr>
                <w:rFonts w:ascii="黑体" w:hAnsi="宋体" w:eastAsia="黑体" w:cs="黑体"/>
                <w:color w:val="000000"/>
                <w:sz w:val="24"/>
              </w:rPr>
            </w:pPr>
          </w:p>
        </w:tc>
        <w:tc>
          <w:tcPr>
            <w:tcW w:w="1145" w:type="dxa"/>
            <w:gridSpan w:val="2"/>
            <w:tcBorders>
              <w:top w:val="nil"/>
              <w:left w:val="nil"/>
              <w:bottom w:val="single" w:color="000000" w:sz="4" w:space="0"/>
              <w:right w:val="nil"/>
            </w:tcBorders>
          </w:tcPr>
          <w:p>
            <w:pPr>
              <w:widowControl/>
              <w:jc w:val="right"/>
              <w:textAlignment w:val="bottom"/>
              <w:rPr>
                <w:rFonts w:ascii="黑体" w:hAnsi="宋体" w:eastAsia="黑体" w:cs="黑体"/>
                <w:color w:val="C00000"/>
                <w:kern w:val="0"/>
                <w:sz w:val="24"/>
              </w:rPr>
            </w:pPr>
          </w:p>
        </w:tc>
        <w:tc>
          <w:tcPr>
            <w:tcW w:w="4503" w:type="dxa"/>
            <w:gridSpan w:val="12"/>
            <w:tcBorders>
              <w:top w:val="nil"/>
              <w:left w:val="nil"/>
              <w:bottom w:val="single" w:color="000000" w:sz="4" w:space="0"/>
              <w:right w:val="nil"/>
            </w:tcBorders>
            <w:shd w:val="clear" w:color="auto" w:fill="auto"/>
            <w:noWrap/>
            <w:vAlign w:val="bottom"/>
          </w:tcPr>
          <w:p>
            <w:pPr>
              <w:widowControl/>
              <w:jc w:val="right"/>
              <w:textAlignment w:val="bottom"/>
              <w:rPr>
                <w:rFonts w:ascii="黑体" w:hAnsi="宋体" w:eastAsia="黑体" w:cs="黑体"/>
                <w:color w:val="000000"/>
                <w:sz w:val="24"/>
              </w:rPr>
            </w:pPr>
            <w:r>
              <w:rPr>
                <w:rFonts w:hint="eastAsia" w:ascii="黑体" w:hAnsi="宋体" w:eastAsia="黑体" w:cs="黑体"/>
                <w:color w:val="000000"/>
                <w:kern w:val="0"/>
                <w:sz w:val="24"/>
              </w:rPr>
              <w:t>单位：万元</w:t>
            </w:r>
          </w:p>
        </w:tc>
      </w:tr>
      <w:tr>
        <w:trPr>
          <w:gridAfter w:val="2"/>
          <w:wAfter w:w="835" w:type="dxa"/>
          <w:trHeight w:val="1338" w:hRule="atLeast"/>
          <w:jc w:val="center"/>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2022年预算数</w:t>
            </w:r>
          </w:p>
        </w:tc>
        <w:tc>
          <w:tcPr>
            <w:tcW w:w="114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eastAsia="zh-CN"/>
              </w:rPr>
            </w:pPr>
            <w:r>
              <w:rPr>
                <w:rFonts w:hint="eastAsia" w:ascii="黑体" w:hAnsi="宋体" w:eastAsia="黑体" w:cs="黑体"/>
                <w:color w:val="000000"/>
                <w:kern w:val="0"/>
                <w:sz w:val="24"/>
              </w:rPr>
              <w:t>调整预算</w:t>
            </w:r>
            <w:r>
              <w:rPr>
                <w:rFonts w:hint="eastAsia" w:ascii="黑体" w:hAnsi="宋体" w:eastAsia="黑体" w:cs="黑体"/>
                <w:color w:val="000000"/>
                <w:kern w:val="0"/>
                <w:sz w:val="24"/>
                <w:lang w:eastAsia="zh-CN"/>
              </w:rPr>
              <w:t>数</w:t>
            </w:r>
          </w:p>
        </w:tc>
        <w:tc>
          <w:tcPr>
            <w:tcW w:w="12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2022年完成数</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占调整预算%</w:t>
            </w:r>
          </w:p>
        </w:tc>
        <w:tc>
          <w:tcPr>
            <w:tcW w:w="18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增长%</w:t>
            </w:r>
          </w:p>
        </w:tc>
      </w:tr>
      <w:tr>
        <w:tblPrEx>
          <w:tblCellMar>
            <w:top w:w="0" w:type="dxa"/>
            <w:left w:w="108" w:type="dxa"/>
            <w:bottom w:w="0" w:type="dxa"/>
            <w:right w:w="108" w:type="dxa"/>
          </w:tblCellMar>
        </w:tblPrEx>
        <w:trPr>
          <w:gridAfter w:val="2"/>
          <w:wAfter w:w="835" w:type="dxa"/>
          <w:trHeight w:val="830" w:hRule="atLeast"/>
          <w:jc w:val="center"/>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宋体" w:eastAsia="黑体" w:cs="黑体"/>
                <w:b/>
                <w:color w:val="000000"/>
                <w:sz w:val="24"/>
              </w:rPr>
            </w:pPr>
            <w:r>
              <w:rPr>
                <w:rFonts w:hint="eastAsia" w:ascii="黑体" w:hAnsi="宋体" w:eastAsia="黑体" w:cs="黑体"/>
                <w:b/>
                <w:color w:val="000000"/>
                <w:kern w:val="0"/>
                <w:sz w:val="24"/>
              </w:rPr>
              <w:t>政府性基金收入合计</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181305</w:t>
            </w: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color w:val="000000"/>
                <w:kern w:val="0"/>
                <w:sz w:val="24"/>
              </w:rPr>
            </w:pPr>
            <w:r>
              <w:rPr>
                <w:rFonts w:hint="eastAsia" w:ascii="黑体" w:hAnsi="宋体" w:eastAsia="黑体" w:cs="黑体"/>
                <w:b/>
                <w:color w:val="000000"/>
                <w:kern w:val="0"/>
                <w:sz w:val="24"/>
              </w:rPr>
              <w:t>72941</w:t>
            </w:r>
          </w:p>
        </w:tc>
        <w:tc>
          <w:tcPr>
            <w:tcW w:w="12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76130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104.0</w:t>
            </w:r>
          </w:p>
        </w:tc>
        <w:tc>
          <w:tcPr>
            <w:tcW w:w="18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-51.7</w:t>
            </w:r>
          </w:p>
        </w:tc>
      </w:tr>
      <w:tr>
        <w:trPr>
          <w:gridAfter w:val="2"/>
          <w:wAfter w:w="835" w:type="dxa"/>
          <w:trHeight w:val="830" w:hRule="atLeast"/>
          <w:jc w:val="center"/>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污水处理费</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100</w:t>
            </w: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100</w:t>
            </w:r>
          </w:p>
        </w:tc>
        <w:tc>
          <w:tcPr>
            <w:tcW w:w="12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200.0</w:t>
            </w:r>
          </w:p>
        </w:tc>
        <w:tc>
          <w:tcPr>
            <w:tcW w:w="18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100.0</w:t>
            </w:r>
          </w:p>
        </w:tc>
      </w:tr>
      <w:tr>
        <w:tblPrEx>
          <w:tblCellMar>
            <w:top w:w="0" w:type="dxa"/>
            <w:left w:w="108" w:type="dxa"/>
            <w:bottom w:w="0" w:type="dxa"/>
            <w:right w:w="108" w:type="dxa"/>
          </w:tblCellMar>
        </w:tblPrEx>
        <w:trPr>
          <w:gridAfter w:val="2"/>
          <w:wAfter w:w="835" w:type="dxa"/>
          <w:trHeight w:val="830" w:hRule="atLeast"/>
          <w:jc w:val="center"/>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国有土地收益基金收入</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900</w:t>
            </w: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1330</w:t>
            </w:r>
          </w:p>
        </w:tc>
        <w:tc>
          <w:tcPr>
            <w:tcW w:w="12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5192</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390.4</w:t>
            </w:r>
          </w:p>
        </w:tc>
        <w:tc>
          <w:tcPr>
            <w:tcW w:w="18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477.5</w:t>
            </w:r>
          </w:p>
        </w:tc>
      </w:tr>
      <w:tr>
        <w:trPr>
          <w:gridAfter w:val="2"/>
          <w:wAfter w:w="835" w:type="dxa"/>
          <w:trHeight w:val="830" w:hRule="atLeast"/>
          <w:jc w:val="center"/>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农业土地开发资金收入</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996</w:t>
            </w:r>
          </w:p>
        </w:tc>
        <w:tc>
          <w:tcPr>
            <w:tcW w:w="12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665</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sz w:val="24"/>
              </w:rPr>
              <w:t>66.8</w:t>
            </w:r>
          </w:p>
        </w:tc>
        <w:tc>
          <w:tcPr>
            <w:tcW w:w="18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p>
        </w:tc>
      </w:tr>
      <w:tr>
        <w:tblPrEx>
          <w:tblCellMar>
            <w:top w:w="0" w:type="dxa"/>
            <w:left w:w="108" w:type="dxa"/>
            <w:bottom w:w="0" w:type="dxa"/>
            <w:right w:w="108" w:type="dxa"/>
          </w:tblCellMar>
        </w:tblPrEx>
        <w:trPr>
          <w:gridAfter w:val="2"/>
          <w:wAfter w:w="835" w:type="dxa"/>
          <w:trHeight w:val="830" w:hRule="atLeast"/>
          <w:jc w:val="center"/>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国有土地使用权出让收入</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179100</w:t>
            </w: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69310</w:t>
            </w:r>
          </w:p>
        </w:tc>
        <w:tc>
          <w:tcPr>
            <w:tcW w:w="12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67930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98</w:t>
            </w:r>
          </w:p>
        </w:tc>
        <w:tc>
          <w:tcPr>
            <w:tcW w:w="18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-56.3</w:t>
            </w:r>
          </w:p>
        </w:tc>
      </w:tr>
      <w:tr>
        <w:trPr>
          <w:gridAfter w:val="2"/>
          <w:wAfter w:w="835" w:type="dxa"/>
          <w:trHeight w:val="830" w:hRule="atLeast"/>
          <w:jc w:val="center"/>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城市基础设施配套费收入</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1200</w:t>
            </w: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1200</w:t>
            </w:r>
          </w:p>
        </w:tc>
        <w:tc>
          <w:tcPr>
            <w:tcW w:w="12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2141</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178.4</w:t>
            </w:r>
          </w:p>
        </w:tc>
        <w:tc>
          <w:tcPr>
            <w:tcW w:w="18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70.5</w:t>
            </w:r>
          </w:p>
        </w:tc>
      </w:tr>
      <w:tr>
        <w:tblPrEx>
          <w:tblCellMar>
            <w:top w:w="0" w:type="dxa"/>
            <w:left w:w="108" w:type="dxa"/>
            <w:bottom w:w="0" w:type="dxa"/>
            <w:right w:w="108" w:type="dxa"/>
          </w:tblCellMar>
        </w:tblPrEx>
        <w:trPr>
          <w:gridAfter w:val="2"/>
          <w:wAfter w:w="835" w:type="dxa"/>
          <w:trHeight w:val="840" w:hRule="atLeast"/>
          <w:jc w:val="center"/>
        </w:trPr>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福利彩票销售机构的业务费用</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5</w:t>
            </w: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5</w:t>
            </w:r>
          </w:p>
        </w:tc>
        <w:tc>
          <w:tcPr>
            <w:tcW w:w="12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40.0</w:t>
            </w:r>
          </w:p>
        </w:tc>
        <w:tc>
          <w:tcPr>
            <w:tcW w:w="18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-60.0</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widowControl/>
        <w:jc w:val="left"/>
        <w:textAlignment w:val="bottom"/>
        <w:rPr>
          <w:rFonts w:hint="eastAsia" w:ascii="黑体" w:hAnsi="宋体" w:eastAsia="黑体" w:cs="黑体"/>
          <w:color w:val="000000"/>
          <w:kern w:val="0"/>
          <w:sz w:val="24"/>
        </w:rPr>
      </w:pPr>
    </w:p>
    <w:tbl>
      <w:tblPr>
        <w:tblStyle w:val="7"/>
        <w:tblW w:w="9283" w:type="dxa"/>
        <w:tblInd w:w="153" w:type="dxa"/>
        <w:tblLayout w:type="autofit"/>
        <w:tblCellMar>
          <w:top w:w="0" w:type="dxa"/>
          <w:left w:w="108" w:type="dxa"/>
          <w:bottom w:w="0" w:type="dxa"/>
          <w:right w:w="108" w:type="dxa"/>
        </w:tblCellMar>
      </w:tblPr>
      <w:tblGrid>
        <w:gridCol w:w="3193"/>
        <w:gridCol w:w="1650"/>
        <w:gridCol w:w="1515"/>
        <w:gridCol w:w="1290"/>
        <w:gridCol w:w="1635"/>
      </w:tblGrid>
      <w:tr>
        <w:tblPrEx>
          <w:tblCellMar>
            <w:top w:w="0" w:type="dxa"/>
            <w:left w:w="108" w:type="dxa"/>
            <w:bottom w:w="0" w:type="dxa"/>
            <w:right w:w="108" w:type="dxa"/>
          </w:tblCellMar>
        </w:tblPrEx>
        <w:trPr>
          <w:trHeight w:val="57" w:hRule="atLeast"/>
        </w:trPr>
        <w:tc>
          <w:tcPr>
            <w:tcW w:w="3193" w:type="dxa"/>
            <w:tcBorders>
              <w:top w:val="nil"/>
              <w:left w:val="nil"/>
              <w:bottom w:val="nil"/>
              <w:right w:val="nil"/>
            </w:tcBorders>
            <w:shd w:val="clear" w:color="auto" w:fill="auto"/>
            <w:noWrap/>
          </w:tcPr>
          <w:p>
            <w:pPr>
              <w:widowControl/>
              <w:jc w:val="left"/>
              <w:textAlignment w:val="bottom"/>
              <w:rPr>
                <w:rFonts w:hint="eastAsia" w:ascii="黑体" w:hAnsi="宋体" w:eastAsia="黑体" w:cs="黑体"/>
                <w:color w:val="000000"/>
                <w:kern w:val="0"/>
                <w:sz w:val="24"/>
              </w:rPr>
            </w:pPr>
            <w:r>
              <w:rPr>
                <w:rFonts w:hint="eastAsia" w:ascii="黑体" w:hAnsi="宋体" w:eastAsia="黑体" w:cs="黑体"/>
                <w:color w:val="000000"/>
                <w:kern w:val="0"/>
                <w:sz w:val="24"/>
              </w:rPr>
              <w:t>附表四</w:t>
            </w:r>
          </w:p>
          <w:p>
            <w:pPr>
              <w:widowControl/>
              <w:jc w:val="left"/>
              <w:textAlignment w:val="bottom"/>
              <w:rPr>
                <w:rFonts w:hint="eastAsia" w:ascii="黑体" w:hAnsi="宋体" w:eastAsia="黑体" w:cs="黑体"/>
                <w:color w:val="000000"/>
                <w:kern w:val="0"/>
                <w:sz w:val="24"/>
              </w:rPr>
            </w:pPr>
          </w:p>
        </w:tc>
        <w:tc>
          <w:tcPr>
            <w:tcW w:w="1650" w:type="dxa"/>
            <w:tcBorders>
              <w:top w:val="nil"/>
              <w:left w:val="nil"/>
              <w:bottom w:val="nil"/>
              <w:right w:val="nil"/>
            </w:tcBorders>
            <w:shd w:val="clear" w:color="auto" w:fill="auto"/>
            <w:noWrap/>
            <w:vAlign w:val="bottom"/>
          </w:tcPr>
          <w:p>
            <w:pPr>
              <w:widowControl/>
              <w:jc w:val="left"/>
              <w:textAlignment w:val="bottom"/>
              <w:rPr>
                <w:rFonts w:hint="eastAsia" w:ascii="黑体" w:hAnsi="宋体" w:eastAsia="黑体" w:cs="黑体"/>
                <w:color w:val="000000"/>
                <w:kern w:val="0"/>
                <w:sz w:val="24"/>
              </w:rPr>
            </w:pPr>
          </w:p>
        </w:tc>
        <w:tc>
          <w:tcPr>
            <w:tcW w:w="1515" w:type="dxa"/>
            <w:tcBorders>
              <w:top w:val="nil"/>
              <w:left w:val="nil"/>
              <w:bottom w:val="nil"/>
              <w:right w:val="nil"/>
            </w:tcBorders>
            <w:shd w:val="clear" w:color="auto" w:fill="auto"/>
            <w:noWrap/>
            <w:vAlign w:val="bottom"/>
          </w:tcPr>
          <w:p>
            <w:pPr>
              <w:widowControl/>
              <w:jc w:val="left"/>
              <w:textAlignment w:val="bottom"/>
              <w:rPr>
                <w:rFonts w:hint="eastAsia" w:ascii="黑体" w:hAnsi="宋体" w:eastAsia="黑体" w:cs="黑体"/>
                <w:color w:val="000000"/>
                <w:kern w:val="0"/>
                <w:sz w:val="24"/>
              </w:rPr>
            </w:pPr>
          </w:p>
        </w:tc>
        <w:tc>
          <w:tcPr>
            <w:tcW w:w="1290" w:type="dxa"/>
            <w:tcBorders>
              <w:top w:val="nil"/>
              <w:left w:val="nil"/>
              <w:bottom w:val="nil"/>
              <w:right w:val="nil"/>
            </w:tcBorders>
            <w:shd w:val="clear" w:color="auto" w:fill="auto"/>
            <w:noWrap/>
            <w:vAlign w:val="bottom"/>
          </w:tcPr>
          <w:p>
            <w:pPr>
              <w:widowControl/>
              <w:jc w:val="left"/>
              <w:textAlignment w:val="bottom"/>
              <w:rPr>
                <w:rFonts w:hint="eastAsia" w:ascii="黑体" w:hAnsi="宋体" w:eastAsia="黑体" w:cs="黑体"/>
                <w:color w:val="000000"/>
                <w:kern w:val="0"/>
                <w:sz w:val="24"/>
              </w:rPr>
            </w:pPr>
          </w:p>
        </w:tc>
        <w:tc>
          <w:tcPr>
            <w:tcW w:w="1635" w:type="dxa"/>
            <w:tcBorders>
              <w:top w:val="nil"/>
              <w:left w:val="nil"/>
              <w:bottom w:val="nil"/>
              <w:right w:val="nil"/>
            </w:tcBorders>
            <w:shd w:val="clear" w:color="auto" w:fill="auto"/>
            <w:noWrap/>
            <w:vAlign w:val="bottom"/>
          </w:tcPr>
          <w:p>
            <w:pPr>
              <w:widowControl/>
              <w:jc w:val="left"/>
              <w:textAlignment w:val="bottom"/>
              <w:rPr>
                <w:rFonts w:hint="eastAsia" w:ascii="黑体" w:hAnsi="宋体" w:eastAsia="黑体" w:cs="黑体"/>
                <w:color w:val="000000"/>
                <w:kern w:val="0"/>
                <w:sz w:val="24"/>
              </w:rPr>
            </w:pPr>
          </w:p>
        </w:tc>
      </w:tr>
      <w:tr>
        <w:tblPrEx>
          <w:tblCellMar>
            <w:top w:w="0" w:type="dxa"/>
            <w:left w:w="108" w:type="dxa"/>
            <w:bottom w:w="0" w:type="dxa"/>
            <w:right w:w="108" w:type="dxa"/>
          </w:tblCellMar>
        </w:tblPrEx>
        <w:trPr>
          <w:trHeight w:val="510" w:hRule="atLeast"/>
        </w:trPr>
        <w:tc>
          <w:tcPr>
            <w:tcW w:w="9283" w:type="dxa"/>
            <w:gridSpan w:val="5"/>
            <w:tcBorders>
              <w:top w:val="nil"/>
              <w:left w:val="nil"/>
              <w:bottom w:val="nil"/>
              <w:right w:val="nil"/>
            </w:tcBorders>
            <w:shd w:val="clear" w:color="auto" w:fill="auto"/>
            <w:noWrap/>
            <w:vAlign w:val="bottom"/>
          </w:tcPr>
          <w:p>
            <w:pPr>
              <w:widowControl/>
              <w:jc w:val="center"/>
              <w:textAlignment w:val="bottom"/>
              <w:rPr>
                <w:rFonts w:ascii="黑体" w:hAnsi="宋体" w:eastAsia="黑体" w:cs="黑体"/>
                <w:b/>
                <w:bCs/>
                <w:color w:val="000000"/>
                <w:sz w:val="36"/>
                <w:szCs w:val="36"/>
              </w:rPr>
            </w:pPr>
            <w:r>
              <w:rPr>
                <w:rFonts w:hint="eastAsia" w:ascii="黑体" w:hAnsi="宋体" w:eastAsia="黑体" w:cs="黑体"/>
                <w:b/>
                <w:bCs/>
                <w:color w:val="000000"/>
                <w:kern w:val="0"/>
                <w:sz w:val="36"/>
                <w:szCs w:val="36"/>
              </w:rPr>
              <w:t>2022年政府性基金支出完成预算情况表</w:t>
            </w:r>
          </w:p>
        </w:tc>
      </w:tr>
      <w:tr>
        <w:tblPrEx>
          <w:tblCellMar>
            <w:top w:w="0" w:type="dxa"/>
            <w:left w:w="108" w:type="dxa"/>
            <w:bottom w:w="0" w:type="dxa"/>
            <w:right w:w="108" w:type="dxa"/>
          </w:tblCellMar>
        </w:tblPrEx>
        <w:trPr>
          <w:trHeight w:val="495" w:hRule="atLeast"/>
        </w:trPr>
        <w:tc>
          <w:tcPr>
            <w:tcW w:w="3193" w:type="dxa"/>
            <w:tcBorders>
              <w:top w:val="nil"/>
              <w:left w:val="nil"/>
              <w:bottom w:val="nil"/>
              <w:right w:val="nil"/>
            </w:tcBorders>
            <w:shd w:val="clear" w:color="auto" w:fill="auto"/>
            <w:noWrap/>
            <w:vAlign w:val="bottom"/>
          </w:tcPr>
          <w:p>
            <w:pPr>
              <w:widowControl/>
              <w:jc w:val="left"/>
              <w:textAlignment w:val="bottom"/>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1650" w:type="dxa"/>
            <w:tcBorders>
              <w:top w:val="nil"/>
              <w:left w:val="nil"/>
              <w:bottom w:val="nil"/>
              <w:right w:val="nil"/>
            </w:tcBorders>
            <w:shd w:val="clear" w:color="auto" w:fill="auto"/>
            <w:noWrap/>
            <w:vAlign w:val="bottom"/>
          </w:tcPr>
          <w:p>
            <w:pPr>
              <w:jc w:val="left"/>
              <w:rPr>
                <w:rFonts w:ascii="黑体" w:hAnsi="宋体" w:eastAsia="黑体" w:cs="黑体"/>
                <w:color w:val="000000"/>
                <w:sz w:val="24"/>
              </w:rPr>
            </w:pPr>
          </w:p>
        </w:tc>
        <w:tc>
          <w:tcPr>
            <w:tcW w:w="4440" w:type="dxa"/>
            <w:gridSpan w:val="3"/>
            <w:tcBorders>
              <w:top w:val="nil"/>
              <w:left w:val="nil"/>
              <w:bottom w:val="nil"/>
              <w:right w:val="nil"/>
            </w:tcBorders>
            <w:shd w:val="clear" w:color="auto" w:fill="auto"/>
            <w:noWrap/>
            <w:vAlign w:val="bottom"/>
          </w:tcPr>
          <w:p>
            <w:pPr>
              <w:widowControl/>
              <w:jc w:val="right"/>
              <w:textAlignment w:val="bottom"/>
              <w:rPr>
                <w:rFonts w:ascii="黑体" w:hAnsi="宋体" w:eastAsia="黑体" w:cs="黑体"/>
                <w:color w:val="000000"/>
                <w:sz w:val="24"/>
              </w:rPr>
            </w:pPr>
            <w:r>
              <w:rPr>
                <w:rFonts w:hint="eastAsia" w:ascii="黑体" w:hAnsi="宋体" w:eastAsia="黑体" w:cs="黑体"/>
                <w:color w:val="000000"/>
                <w:kern w:val="0"/>
                <w:sz w:val="24"/>
              </w:rPr>
              <w:t>单位：万元</w:t>
            </w:r>
          </w:p>
        </w:tc>
      </w:tr>
      <w:tr>
        <w:tblPrEx>
          <w:tblCellMar>
            <w:top w:w="0" w:type="dxa"/>
            <w:left w:w="108" w:type="dxa"/>
            <w:bottom w:w="0" w:type="dxa"/>
            <w:right w:w="108" w:type="dxa"/>
          </w:tblCellMar>
        </w:tblPrEx>
        <w:trPr>
          <w:trHeight w:val="642" w:hRule="atLeast"/>
        </w:trPr>
        <w:tc>
          <w:tcPr>
            <w:tcW w:w="3193"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w:t>
            </w:r>
          </w:p>
        </w:tc>
        <w:tc>
          <w:tcPr>
            <w:tcW w:w="165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调整预算数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占预算%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增长%</w:t>
            </w:r>
          </w:p>
        </w:tc>
      </w:tr>
      <w:tr>
        <w:tblPrEx>
          <w:tblCellMar>
            <w:top w:w="0" w:type="dxa"/>
            <w:left w:w="108" w:type="dxa"/>
            <w:bottom w:w="0" w:type="dxa"/>
            <w:right w:w="108" w:type="dxa"/>
          </w:tblCellMar>
        </w:tblPrEx>
        <w:trPr>
          <w:trHeight w:val="799" w:hRule="atLeast"/>
        </w:trPr>
        <w:tc>
          <w:tcPr>
            <w:tcW w:w="3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宋体" w:eastAsia="黑体" w:cs="黑体"/>
                <w:b/>
                <w:color w:val="000000"/>
                <w:sz w:val="24"/>
              </w:rPr>
            </w:pPr>
            <w:r>
              <w:rPr>
                <w:rFonts w:hint="eastAsia" w:ascii="黑体" w:hAnsi="宋体" w:eastAsia="黑体" w:cs="黑体"/>
                <w:b/>
                <w:color w:val="000000"/>
                <w:kern w:val="0"/>
                <w:sz w:val="24"/>
              </w:rPr>
              <w:t>政府性基金支出合计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200770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130000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64.8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-46.5</w:t>
            </w:r>
          </w:p>
        </w:tc>
      </w:tr>
      <w:tr>
        <w:tblPrEx>
          <w:tblCellMar>
            <w:top w:w="0" w:type="dxa"/>
            <w:left w:w="108" w:type="dxa"/>
            <w:bottom w:w="0" w:type="dxa"/>
            <w:right w:w="108" w:type="dxa"/>
          </w:tblCellMar>
        </w:tblPrEx>
        <w:trPr>
          <w:trHeight w:val="799" w:hRule="atLeast"/>
        </w:trPr>
        <w:tc>
          <w:tcPr>
            <w:tcW w:w="3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城乡社区事务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187851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117994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62.8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-21.5</w:t>
            </w:r>
          </w:p>
        </w:tc>
      </w:tr>
      <w:tr>
        <w:tblPrEx>
          <w:tblCellMar>
            <w:top w:w="0" w:type="dxa"/>
            <w:left w:w="108" w:type="dxa"/>
            <w:bottom w:w="0" w:type="dxa"/>
            <w:right w:w="108" w:type="dxa"/>
          </w:tblCellMar>
        </w:tblPrEx>
        <w:trPr>
          <w:trHeight w:val="799" w:hRule="atLeast"/>
        </w:trPr>
        <w:tc>
          <w:tcPr>
            <w:tcW w:w="3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社会保障和就业</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1388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482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34.7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-68.1</w:t>
            </w:r>
          </w:p>
        </w:tc>
      </w:tr>
      <w:tr>
        <w:tblPrEx>
          <w:tblCellMar>
            <w:top w:w="0" w:type="dxa"/>
            <w:left w:w="108" w:type="dxa"/>
            <w:bottom w:w="0" w:type="dxa"/>
            <w:right w:w="108" w:type="dxa"/>
          </w:tblCellMar>
        </w:tblPrEx>
        <w:trPr>
          <w:trHeight w:val="799" w:hRule="atLeast"/>
        </w:trPr>
        <w:tc>
          <w:tcPr>
            <w:tcW w:w="3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农林水支出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81.1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-3.2</w:t>
            </w:r>
          </w:p>
        </w:tc>
      </w:tr>
      <w:tr>
        <w:tblPrEx>
          <w:tblCellMar>
            <w:top w:w="0" w:type="dxa"/>
            <w:left w:w="108" w:type="dxa"/>
            <w:bottom w:w="0" w:type="dxa"/>
            <w:right w:w="108" w:type="dxa"/>
          </w:tblCellMar>
        </w:tblPrEx>
        <w:trPr>
          <w:trHeight w:val="799" w:hRule="atLeast"/>
        </w:trPr>
        <w:tc>
          <w:tcPr>
            <w:tcW w:w="3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债务</w:t>
            </w:r>
            <w:r>
              <w:rPr>
                <w:rFonts w:hint="eastAsia" w:ascii="黑体" w:hAnsi="宋体" w:eastAsia="黑体" w:cs="黑体"/>
                <w:kern w:val="0"/>
                <w:sz w:val="24"/>
              </w:rPr>
              <w:t>还本付息支出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11494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11494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100.0</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46.7</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spacing w:before="156" w:after="156"/>
      </w:pPr>
    </w:p>
    <w:p/>
    <w:p/>
    <w:p/>
    <w:p/>
    <w:p/>
    <w:p/>
    <w:p/>
    <w:tbl>
      <w:tblPr>
        <w:tblStyle w:val="7"/>
        <w:tblW w:w="9000" w:type="dxa"/>
        <w:tblInd w:w="93" w:type="dxa"/>
        <w:tblLayout w:type="autofit"/>
        <w:tblCellMar>
          <w:top w:w="0" w:type="dxa"/>
          <w:left w:w="108" w:type="dxa"/>
          <w:bottom w:w="0" w:type="dxa"/>
          <w:right w:w="108" w:type="dxa"/>
        </w:tblCellMar>
      </w:tblPr>
      <w:tblGrid>
        <w:gridCol w:w="3375"/>
        <w:gridCol w:w="1875"/>
        <w:gridCol w:w="1875"/>
        <w:gridCol w:w="1875"/>
      </w:tblGrid>
      <w:tr>
        <w:tblPrEx>
          <w:tblCellMar>
            <w:top w:w="0" w:type="dxa"/>
            <w:left w:w="108" w:type="dxa"/>
            <w:bottom w:w="0" w:type="dxa"/>
            <w:right w:w="108" w:type="dxa"/>
          </w:tblCellMar>
        </w:tblPrEx>
        <w:trPr>
          <w:trHeight w:val="285" w:hRule="atLeast"/>
        </w:trPr>
        <w:tc>
          <w:tcPr>
            <w:tcW w:w="3375" w:type="dxa"/>
            <w:tcBorders>
              <w:top w:val="nil"/>
              <w:left w:val="nil"/>
              <w:bottom w:val="nil"/>
              <w:right w:val="nil"/>
            </w:tcBorders>
            <w:shd w:val="clear" w:color="auto" w:fill="auto"/>
            <w:noWrap/>
            <w:vAlign w:val="bottom"/>
          </w:tcPr>
          <w:p>
            <w:pPr>
              <w:widowControl/>
              <w:jc w:val="left"/>
              <w:textAlignment w:val="bottom"/>
              <w:rPr>
                <w:rFonts w:ascii="黑体" w:hAnsi="宋体" w:eastAsia="黑体" w:cs="黑体"/>
                <w:color w:val="000000"/>
                <w:sz w:val="24"/>
              </w:rPr>
            </w:pPr>
            <w:r>
              <w:rPr>
                <w:rFonts w:hint="eastAsia" w:ascii="黑体" w:hAnsi="宋体" w:eastAsia="黑体" w:cs="黑体"/>
                <w:color w:val="000000"/>
                <w:kern w:val="0"/>
                <w:sz w:val="24"/>
              </w:rPr>
              <w:t>附表五</w:t>
            </w:r>
          </w:p>
        </w:tc>
        <w:tc>
          <w:tcPr>
            <w:tcW w:w="1875" w:type="dxa"/>
            <w:tcBorders>
              <w:top w:val="nil"/>
              <w:left w:val="nil"/>
              <w:bottom w:val="nil"/>
              <w:right w:val="nil"/>
            </w:tcBorders>
            <w:shd w:val="clear" w:color="auto" w:fill="auto"/>
            <w:noWrap/>
            <w:vAlign w:val="bottom"/>
          </w:tcPr>
          <w:p>
            <w:pPr>
              <w:rPr>
                <w:rFonts w:ascii="黑体" w:hAnsi="宋体" w:eastAsia="黑体" w:cs="黑体"/>
                <w:color w:val="000000"/>
                <w:sz w:val="24"/>
              </w:rPr>
            </w:pPr>
          </w:p>
        </w:tc>
        <w:tc>
          <w:tcPr>
            <w:tcW w:w="1875" w:type="dxa"/>
            <w:tcBorders>
              <w:top w:val="nil"/>
              <w:left w:val="nil"/>
              <w:bottom w:val="nil"/>
              <w:right w:val="nil"/>
            </w:tcBorders>
            <w:shd w:val="clear" w:color="auto" w:fill="auto"/>
            <w:noWrap/>
            <w:vAlign w:val="bottom"/>
          </w:tcPr>
          <w:p>
            <w:pPr>
              <w:rPr>
                <w:rFonts w:ascii="黑体" w:hAnsi="宋体" w:eastAsia="黑体" w:cs="黑体"/>
                <w:color w:val="000000"/>
                <w:sz w:val="24"/>
              </w:rPr>
            </w:pPr>
          </w:p>
        </w:tc>
        <w:tc>
          <w:tcPr>
            <w:tcW w:w="1875" w:type="dxa"/>
            <w:tcBorders>
              <w:top w:val="nil"/>
              <w:left w:val="nil"/>
              <w:bottom w:val="nil"/>
              <w:right w:val="nil"/>
            </w:tcBorders>
            <w:shd w:val="clear" w:color="auto" w:fill="auto"/>
            <w:noWrap/>
            <w:vAlign w:val="bottom"/>
          </w:tcPr>
          <w:p>
            <w:pPr>
              <w:rPr>
                <w:rFonts w:ascii="黑体" w:hAnsi="宋体" w:eastAsia="黑体" w:cs="黑体"/>
                <w:color w:val="000000"/>
                <w:sz w:val="24"/>
              </w:rPr>
            </w:pPr>
          </w:p>
        </w:tc>
      </w:tr>
      <w:tr>
        <w:trPr>
          <w:trHeight w:val="1032" w:hRule="atLeast"/>
        </w:trPr>
        <w:tc>
          <w:tcPr>
            <w:tcW w:w="0" w:type="auto"/>
            <w:gridSpan w:val="4"/>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6"/>
                <w:szCs w:val="36"/>
              </w:rPr>
            </w:pPr>
            <w:r>
              <w:rPr>
                <w:rFonts w:hint="eastAsia" w:ascii="黑体" w:hAnsi="宋体" w:eastAsia="黑体" w:cs="黑体"/>
                <w:b/>
                <w:bCs/>
                <w:color w:val="000000"/>
                <w:kern w:val="0"/>
                <w:sz w:val="36"/>
                <w:szCs w:val="36"/>
              </w:rPr>
              <w:t>2022年社保基金预算收支完成情况表</w:t>
            </w:r>
          </w:p>
        </w:tc>
      </w:tr>
      <w:tr>
        <w:tblPrEx>
          <w:tblCellMar>
            <w:top w:w="0" w:type="dxa"/>
            <w:left w:w="108" w:type="dxa"/>
            <w:bottom w:w="0" w:type="dxa"/>
            <w:right w:w="108" w:type="dxa"/>
          </w:tblCellMar>
        </w:tblPrEx>
        <w:trPr>
          <w:trHeight w:val="495"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0" w:type="auto"/>
            <w:tcBorders>
              <w:top w:val="nil"/>
              <w:left w:val="nil"/>
              <w:bottom w:val="nil"/>
              <w:right w:val="nil"/>
            </w:tcBorders>
            <w:shd w:val="clear" w:color="auto" w:fill="auto"/>
            <w:noWrap/>
            <w:vAlign w:val="center"/>
          </w:tcPr>
          <w:p>
            <w:pPr>
              <w:jc w:val="center"/>
              <w:rPr>
                <w:rFonts w:ascii="黑体" w:hAnsi="宋体" w:eastAsia="黑体" w:cs="黑体"/>
                <w:color w:val="000000"/>
                <w:sz w:val="24"/>
              </w:rPr>
            </w:pPr>
          </w:p>
        </w:tc>
        <w:tc>
          <w:tcPr>
            <w:tcW w:w="0" w:type="auto"/>
            <w:gridSpan w:val="2"/>
            <w:tcBorders>
              <w:top w:val="nil"/>
              <w:left w:val="nil"/>
              <w:bottom w:val="single" w:color="000000" w:sz="4" w:space="0"/>
              <w:right w:val="nil"/>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单位：万元</w:t>
            </w:r>
          </w:p>
        </w:tc>
      </w:tr>
      <w:tr>
        <w:trPr>
          <w:trHeight w:val="6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预算数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为预算%</w:t>
            </w:r>
          </w:p>
        </w:tc>
      </w:tr>
      <w:tr>
        <w:tblPrEx>
          <w:tblCellMar>
            <w:top w:w="0" w:type="dxa"/>
            <w:left w:w="108" w:type="dxa"/>
            <w:bottom w:w="0" w:type="dxa"/>
            <w:right w:w="108" w:type="dxa"/>
          </w:tblCellMar>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社会保险基金预算收入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53668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61999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115.5</w:t>
            </w:r>
          </w:p>
        </w:tc>
      </w:tr>
      <w:tr>
        <w:tblPrEx>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机关事业养老保险基金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29760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28512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95.8</w:t>
            </w:r>
          </w:p>
        </w:tc>
      </w:tr>
      <w:tr>
        <w:tblPrEx>
          <w:tblCellMar>
            <w:top w:w="0" w:type="dxa"/>
            <w:left w:w="108" w:type="dxa"/>
            <w:bottom w:w="0" w:type="dxa"/>
            <w:right w:w="108" w:type="dxa"/>
          </w:tblCellMar>
        </w:tblPrEx>
        <w:trPr>
          <w:trHeight w:val="799" w:hRule="atLeast"/>
        </w:trPr>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城乡居民基本养老保险基金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23908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33487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140.1</w:t>
            </w:r>
          </w:p>
        </w:tc>
      </w:tr>
      <w:tr>
        <w:tblPrEx>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社会保险基金预算支出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49461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45087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rPr>
            </w:pPr>
            <w:r>
              <w:rPr>
                <w:rFonts w:hint="eastAsia" w:ascii="黑体" w:hAnsi="宋体" w:eastAsia="黑体" w:cs="黑体"/>
                <w:b/>
                <w:bCs/>
                <w:color w:val="000000"/>
                <w:kern w:val="0"/>
                <w:sz w:val="24"/>
              </w:rPr>
              <w:t>91.2</w:t>
            </w:r>
          </w:p>
        </w:tc>
      </w:tr>
      <w:tr>
        <w:tblPrEx>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机关事业养老保险基金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32760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29206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89.2</w:t>
            </w:r>
          </w:p>
        </w:tc>
      </w:tr>
      <w:tr>
        <w:tblPrEx>
          <w:tblCellMar>
            <w:top w:w="0" w:type="dxa"/>
            <w:left w:w="108" w:type="dxa"/>
            <w:bottom w:w="0" w:type="dxa"/>
            <w:right w:w="108" w:type="dxa"/>
          </w:tblCellMar>
        </w:tblPrEx>
        <w:trPr>
          <w:trHeight w:val="799" w:hRule="atLeast"/>
        </w:trPr>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城乡居民基本养老保险基金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16701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15881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95.1</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31" w:header="851" w:footer="992" w:gutter="0"/>
          <w:cols w:space="425" w:num="1"/>
          <w:docGrid w:type="lines" w:linePitch="312" w:charSpace="0"/>
        </w:sectPr>
      </w:pPr>
    </w:p>
    <w:tbl>
      <w:tblPr>
        <w:tblStyle w:val="7"/>
        <w:tblW w:w="9686" w:type="dxa"/>
        <w:tblInd w:w="91" w:type="dxa"/>
        <w:tblLayout w:type="fixed"/>
        <w:tblCellMar>
          <w:top w:w="0" w:type="dxa"/>
          <w:left w:w="108" w:type="dxa"/>
          <w:bottom w:w="0" w:type="dxa"/>
          <w:right w:w="108" w:type="dxa"/>
        </w:tblCellMar>
      </w:tblPr>
      <w:tblGrid>
        <w:gridCol w:w="2990"/>
        <w:gridCol w:w="313"/>
        <w:gridCol w:w="483"/>
        <w:gridCol w:w="1174"/>
        <w:gridCol w:w="230"/>
        <w:gridCol w:w="706"/>
        <w:gridCol w:w="904"/>
        <w:gridCol w:w="1020"/>
        <w:gridCol w:w="186"/>
        <w:gridCol w:w="237"/>
        <w:gridCol w:w="907"/>
        <w:gridCol w:w="536"/>
      </w:tblGrid>
      <w:tr>
        <w:tblPrEx>
          <w:tblCellMar>
            <w:top w:w="0" w:type="dxa"/>
            <w:left w:w="108" w:type="dxa"/>
            <w:bottom w:w="0" w:type="dxa"/>
            <w:right w:w="108" w:type="dxa"/>
          </w:tblCellMar>
        </w:tblPrEx>
        <w:trPr>
          <w:trHeight w:val="540" w:hRule="atLeast"/>
        </w:trPr>
        <w:tc>
          <w:tcPr>
            <w:tcW w:w="9686" w:type="dxa"/>
            <w:gridSpan w:val="12"/>
            <w:tcBorders>
              <w:top w:val="nil"/>
              <w:left w:val="nil"/>
              <w:bottom w:val="nil"/>
              <w:right w:val="nil"/>
            </w:tcBorders>
            <w:noWrap/>
            <w:vAlign w:val="bottom"/>
          </w:tcPr>
          <w:p>
            <w:pPr>
              <w:widowControl/>
              <w:ind w:firstLine="1800" w:firstLineChars="500"/>
              <w:textAlignment w:val="bottom"/>
              <w:rPr>
                <w:rFonts w:ascii="黑体" w:hAnsi="宋体" w:eastAsia="黑体" w:cs="黑体"/>
                <w:b/>
                <w:bCs/>
                <w:color w:val="000000"/>
                <w:kern w:val="0"/>
                <w:sz w:val="36"/>
                <w:szCs w:val="36"/>
              </w:rPr>
            </w:pPr>
            <w:r>
              <w:rPr>
                <w:sz w:val="36"/>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-76200</wp:posOffset>
                      </wp:positionV>
                      <wp:extent cx="964565" cy="297815"/>
                      <wp:effectExtent l="0" t="0" r="6985" b="6985"/>
                      <wp:wrapNone/>
                      <wp:docPr id="3" name="文本框 3"/>
                      <wp:cNvGraphicFramePr/>
                      <a:graphic xmlns:a="http://schemas.openxmlformats.org/drawingml/2006/main">
                        <a:graphicData uri="http://schemas.microsoft.com/office/word/2010/wordprocessingShape">
                          <wps:wsp>
                            <wps:cNvSpPr txBox="true"/>
                            <wps:spPr>
                              <a:xfrm>
                                <a:off x="989330" y="838200"/>
                                <a:ext cx="964565" cy="297815"/>
                              </a:xfrm>
                              <a:prstGeom prst="rect">
                                <a:avLst/>
                              </a:prstGeom>
                              <a:solidFill>
                                <a:srgbClr val="FFFFFF"/>
                              </a:solidFill>
                              <a:ln w="6350">
                                <a:noFill/>
                              </a:ln>
                              <a:effectLst/>
                            </wps:spPr>
                            <wps:txbx>
                              <w:txbxContent>
                                <w:p>
                                  <w:pPr>
                                    <w:rPr>
                                      <w:rFonts w:ascii="黑体" w:hAnsi="黑体" w:eastAsia="黑体" w:cs="黑体"/>
                                      <w:sz w:val="24"/>
                                    </w:rPr>
                                  </w:pPr>
                                  <w:r>
                                    <w:rPr>
                                      <w:rFonts w:hint="eastAsia" w:ascii="黑体" w:hAnsi="黑体" w:eastAsia="黑体" w:cs="黑体"/>
                                      <w:sz w:val="24"/>
                                    </w:rPr>
                                    <w:t>附表六</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pt;margin-top:-6pt;height:23.45pt;width:75.95pt;z-index:251659264;mso-width-relative:page;mso-height-relative:page;" fillcolor="#FFFFFF" filled="t" stroked="f" coordsize="21600,21600" o:gfxdata="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AXD&#10;pLjVAAAACQEAAA8AAAAAAAAAAQAgAAAAOAAAAGRycy9kb3ducmV2LnhtbFBLAQIUABQAAAAIAIdO&#10;4kBhlqTqSQIAAGoEAAAOAAAAAAAAAAEAIAAAADoBAABkcnMvZTJvRG9jLnhtbFBLBQYAAAAABgAG&#10;AFkBAAD1BQAAAAA=&#10;">
                      <v:fill on="t" focussize="0,0"/>
                      <v:stroke on="f" weight="0.5pt"/>
                      <v:imagedata o:title=""/>
                      <o:lock v:ext="edit" aspectratio="f"/>
                      <v:textbox>
                        <w:txbxContent>
                          <w:p>
                            <w:pPr>
                              <w:rPr>
                                <w:rFonts w:ascii="黑体" w:hAnsi="黑体" w:eastAsia="黑体" w:cs="黑体"/>
                                <w:sz w:val="24"/>
                              </w:rPr>
                            </w:pPr>
                            <w:r>
                              <w:rPr>
                                <w:rFonts w:hint="eastAsia" w:ascii="黑体" w:hAnsi="黑体" w:eastAsia="黑体" w:cs="黑体"/>
                                <w:sz w:val="24"/>
                              </w:rPr>
                              <w:t>附表六</w:t>
                            </w:r>
                          </w:p>
                        </w:txbxContent>
                      </v:textbox>
                    </v:shape>
                  </w:pict>
                </mc:Fallback>
              </mc:AlternateContent>
            </w:r>
          </w:p>
          <w:p>
            <w:pPr>
              <w:widowControl/>
              <w:ind w:firstLine="1807" w:firstLineChars="500"/>
              <w:textAlignment w:val="bottom"/>
              <w:rPr>
                <w:rFonts w:ascii="黑体" w:hAnsi="宋体" w:eastAsia="黑体" w:cs="黑体"/>
                <w:b/>
                <w:bCs/>
                <w:color w:val="000000"/>
                <w:sz w:val="36"/>
                <w:szCs w:val="36"/>
              </w:rPr>
            </w:pPr>
            <w:r>
              <w:rPr>
                <w:rFonts w:hint="eastAsia" w:ascii="黑体" w:hAnsi="宋体" w:eastAsia="黑体" w:cs="黑体"/>
                <w:b/>
                <w:bCs/>
                <w:color w:val="000000"/>
                <w:kern w:val="0"/>
                <w:sz w:val="36"/>
                <w:szCs w:val="36"/>
              </w:rPr>
              <w:t>2023年一般公共预算收入表(草案)</w:t>
            </w:r>
          </w:p>
        </w:tc>
      </w:tr>
      <w:tr>
        <w:tblPrEx>
          <w:tblCellMar>
            <w:top w:w="0" w:type="dxa"/>
            <w:left w:w="108" w:type="dxa"/>
            <w:bottom w:w="0" w:type="dxa"/>
            <w:right w:w="108" w:type="dxa"/>
          </w:tblCellMar>
        </w:tblPrEx>
        <w:trPr>
          <w:trHeight w:val="285" w:hRule="atLeast"/>
        </w:trPr>
        <w:tc>
          <w:tcPr>
            <w:tcW w:w="3786" w:type="dxa"/>
            <w:gridSpan w:val="3"/>
            <w:tcBorders>
              <w:top w:val="nil"/>
              <w:left w:val="nil"/>
              <w:bottom w:val="nil"/>
              <w:right w:val="nil"/>
            </w:tcBorders>
            <w:noWrap/>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2110" w:type="dxa"/>
            <w:gridSpan w:val="3"/>
            <w:tcBorders>
              <w:top w:val="nil"/>
              <w:left w:val="nil"/>
              <w:bottom w:val="nil"/>
              <w:right w:val="nil"/>
            </w:tcBorders>
            <w:noWrap/>
            <w:vAlign w:val="center"/>
          </w:tcPr>
          <w:p>
            <w:pPr>
              <w:rPr>
                <w:rFonts w:ascii="黑体" w:hAnsi="宋体" w:eastAsia="黑体" w:cs="黑体"/>
                <w:color w:val="000000"/>
                <w:sz w:val="24"/>
              </w:rPr>
            </w:pPr>
          </w:p>
        </w:tc>
        <w:tc>
          <w:tcPr>
            <w:tcW w:w="2110" w:type="dxa"/>
            <w:gridSpan w:val="3"/>
            <w:tcBorders>
              <w:top w:val="nil"/>
              <w:left w:val="nil"/>
              <w:bottom w:val="nil"/>
              <w:right w:val="nil"/>
            </w:tcBorders>
            <w:noWrap/>
            <w:vAlign w:val="center"/>
          </w:tcPr>
          <w:p>
            <w:pPr>
              <w:rPr>
                <w:rFonts w:ascii="黑体" w:hAnsi="宋体" w:eastAsia="黑体" w:cs="黑体"/>
                <w:color w:val="000000"/>
                <w:sz w:val="24"/>
              </w:rPr>
            </w:pPr>
          </w:p>
        </w:tc>
        <w:tc>
          <w:tcPr>
            <w:tcW w:w="1680" w:type="dxa"/>
            <w:gridSpan w:val="3"/>
            <w:tcBorders>
              <w:top w:val="nil"/>
              <w:left w:val="nil"/>
              <w:bottom w:val="nil"/>
              <w:right w:val="nil"/>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单位:万元</w:t>
            </w:r>
          </w:p>
        </w:tc>
      </w:tr>
      <w:tr>
        <w:tblPrEx>
          <w:tblCellMar>
            <w:top w:w="0" w:type="dxa"/>
            <w:left w:w="108" w:type="dxa"/>
            <w:bottom w:w="0" w:type="dxa"/>
            <w:right w:w="108" w:type="dxa"/>
          </w:tblCellMar>
        </w:tblPrEx>
        <w:trPr>
          <w:trHeight w:val="735"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          目</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2022年完成数</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2023年预算数</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增长%</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一般预算收入合计</w:t>
            </w:r>
          </w:p>
        </w:tc>
        <w:tc>
          <w:tcPr>
            <w:tcW w:w="21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204718</w:t>
            </w:r>
          </w:p>
        </w:tc>
        <w:tc>
          <w:tcPr>
            <w:tcW w:w="21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231300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 xml:space="preserve">13.0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一、税收收入</w:t>
            </w:r>
          </w:p>
        </w:tc>
        <w:tc>
          <w:tcPr>
            <w:tcW w:w="21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142223</w:t>
            </w:r>
          </w:p>
        </w:tc>
        <w:tc>
          <w:tcPr>
            <w:tcW w:w="21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163500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15.0</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增值税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45275</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57500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27.0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企业所得税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10191</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14000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37.4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个人所得税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34929</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20000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-42.7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资源税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4738</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8000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68.8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城市维护建设税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3947</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5000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26.7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房产税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4063</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4300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5.8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印花税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5904</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6500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10.1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城镇土地使用税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4580</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4800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4.8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土地增值税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6294</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8000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27.1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车船税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2106</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2500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18.7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耕地占用税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6035</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15000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148.6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契税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11567</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15000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29.7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烟叶税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1799</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2100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16.7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环境保护税</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795</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800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0.6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二、非税收入小计</w:t>
            </w:r>
          </w:p>
        </w:tc>
        <w:tc>
          <w:tcPr>
            <w:tcW w:w="21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62495</w:t>
            </w:r>
          </w:p>
        </w:tc>
        <w:tc>
          <w:tcPr>
            <w:tcW w:w="21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67800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8.5</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专项收入</w:t>
            </w:r>
          </w:p>
        </w:tc>
        <w:tc>
          <w:tcPr>
            <w:tcW w:w="21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3497</w:t>
            </w:r>
          </w:p>
        </w:tc>
        <w:tc>
          <w:tcPr>
            <w:tcW w:w="21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4500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28.7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行政事业性收费收入</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3316</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4000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20.6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tabs>
                <w:tab w:val="left" w:pos="2554"/>
              </w:tabs>
              <w:ind w:firstLine="240" w:firstLineChars="100"/>
              <w:jc w:val="left"/>
              <w:textAlignment w:val="center"/>
              <w:rPr>
                <w:rFonts w:ascii="黑体" w:hAnsi="宋体" w:eastAsia="黑体" w:cs="黑体"/>
                <w:sz w:val="24"/>
              </w:rPr>
            </w:pPr>
            <w:r>
              <w:rPr>
                <w:rFonts w:hint="eastAsia" w:ascii="黑体" w:hAnsi="宋体" w:eastAsia="黑体" w:cs="黑体"/>
                <w:kern w:val="0"/>
                <w:sz w:val="24"/>
              </w:rPr>
              <w:t>罚没及其他收入</w:t>
            </w:r>
            <w:r>
              <w:rPr>
                <w:rFonts w:hint="eastAsia" w:ascii="黑体" w:hAnsi="宋体" w:eastAsia="黑体" w:cs="黑体"/>
                <w:kern w:val="0"/>
                <w:sz w:val="24"/>
              </w:rPr>
              <w:tab/>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sz w:val="24"/>
              </w:rPr>
            </w:pPr>
            <w:r>
              <w:rPr>
                <w:rFonts w:hint="eastAsia" w:ascii="黑体" w:hAnsi="宋体" w:eastAsia="黑体" w:cs="黑体"/>
                <w:kern w:val="0"/>
                <w:sz w:val="24"/>
              </w:rPr>
              <w:t>7706</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sz w:val="24"/>
              </w:rPr>
            </w:pPr>
            <w:r>
              <w:rPr>
                <w:rFonts w:hint="eastAsia" w:ascii="黑体" w:hAnsi="宋体" w:eastAsia="黑体" w:cs="黑体"/>
                <w:kern w:val="0"/>
                <w:sz w:val="24"/>
              </w:rPr>
              <w:t>8300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7.7</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国有资源（资产）有偿使用收入</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47049</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49900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6.1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捐赠收入</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679</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800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17.8 </w:t>
            </w:r>
          </w:p>
        </w:tc>
      </w:tr>
      <w:tr>
        <w:tblPrEx>
          <w:tblCellMar>
            <w:top w:w="0" w:type="dxa"/>
            <w:left w:w="108" w:type="dxa"/>
            <w:bottom w:w="0" w:type="dxa"/>
            <w:right w:w="108" w:type="dxa"/>
          </w:tblCellMar>
        </w:tblPrEx>
        <w:trPr>
          <w:trHeight w:val="471" w:hRule="atLeast"/>
        </w:trPr>
        <w:tc>
          <w:tcPr>
            <w:tcW w:w="37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政府住房基金收入</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248</w:t>
            </w:r>
          </w:p>
        </w:tc>
        <w:tc>
          <w:tcPr>
            <w:tcW w:w="2110" w:type="dxa"/>
            <w:gridSpan w:val="3"/>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300</w:t>
            </w:r>
          </w:p>
        </w:tc>
        <w:tc>
          <w:tcPr>
            <w:tcW w:w="16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21.0 </w:t>
            </w:r>
          </w:p>
        </w:tc>
      </w:tr>
      <w:tr>
        <w:tblPrEx>
          <w:tblCellMar>
            <w:top w:w="0" w:type="dxa"/>
            <w:left w:w="108" w:type="dxa"/>
            <w:bottom w:w="0" w:type="dxa"/>
            <w:right w:w="108" w:type="dxa"/>
          </w:tblCellMar>
        </w:tblPrEx>
        <w:trPr>
          <w:trHeight w:val="330" w:hRule="atLeast"/>
        </w:trPr>
        <w:tc>
          <w:tcPr>
            <w:tcW w:w="3303" w:type="dxa"/>
            <w:gridSpan w:val="2"/>
            <w:tcBorders>
              <w:top w:val="nil"/>
              <w:left w:val="nil"/>
              <w:bottom w:val="nil"/>
              <w:right w:val="nil"/>
            </w:tcBorders>
            <w:noWrap/>
            <w:vAlign w:val="center"/>
          </w:tcPr>
          <w:p>
            <w:pPr>
              <w:widowControl/>
              <w:jc w:val="left"/>
              <w:textAlignment w:val="center"/>
              <w:rPr>
                <w:rFonts w:ascii="黑体" w:hAnsi="宋体" w:eastAsia="黑体" w:cs="黑体"/>
                <w:color w:val="C00000"/>
                <w:kern w:val="0"/>
                <w:sz w:val="24"/>
              </w:rPr>
            </w:pPr>
          </w:p>
          <w:p>
            <w:pPr>
              <w:widowControl/>
              <w:jc w:val="left"/>
              <w:textAlignment w:val="center"/>
              <w:rPr>
                <w:rFonts w:ascii="黑体" w:hAnsi="宋体" w:eastAsia="黑体" w:cs="黑体"/>
                <w:color w:val="000000"/>
                <w:sz w:val="24"/>
              </w:rPr>
            </w:pPr>
            <w:r>
              <w:rPr>
                <w:rFonts w:hint="eastAsia" w:ascii="黑体" w:hAnsi="宋体" w:eastAsia="黑体" w:cs="黑体"/>
                <w:color w:val="auto"/>
                <w:kern w:val="0"/>
                <w:sz w:val="24"/>
              </w:rPr>
              <w:t>附表七</w:t>
            </w:r>
          </w:p>
        </w:tc>
        <w:tc>
          <w:tcPr>
            <w:tcW w:w="1657" w:type="dxa"/>
            <w:gridSpan w:val="2"/>
            <w:tcBorders>
              <w:top w:val="nil"/>
              <w:left w:val="nil"/>
              <w:bottom w:val="nil"/>
              <w:right w:val="nil"/>
            </w:tcBorders>
            <w:noWrap/>
            <w:vAlign w:val="center"/>
          </w:tcPr>
          <w:p>
            <w:pPr>
              <w:rPr>
                <w:rFonts w:ascii="黑体" w:hAnsi="宋体" w:eastAsia="黑体" w:cs="黑体"/>
                <w:color w:val="000000"/>
                <w:sz w:val="24"/>
              </w:rPr>
            </w:pPr>
          </w:p>
        </w:tc>
        <w:tc>
          <w:tcPr>
            <w:tcW w:w="1840" w:type="dxa"/>
            <w:gridSpan w:val="3"/>
            <w:tcBorders>
              <w:top w:val="nil"/>
              <w:left w:val="nil"/>
              <w:bottom w:val="nil"/>
              <w:right w:val="nil"/>
            </w:tcBorders>
            <w:noWrap/>
            <w:vAlign w:val="center"/>
          </w:tcPr>
          <w:p>
            <w:pPr>
              <w:jc w:val="center"/>
              <w:rPr>
                <w:rFonts w:ascii="黑体" w:hAnsi="宋体" w:eastAsia="黑体" w:cs="黑体"/>
                <w:color w:val="000000"/>
                <w:sz w:val="24"/>
              </w:rPr>
            </w:pPr>
          </w:p>
        </w:tc>
        <w:tc>
          <w:tcPr>
            <w:tcW w:w="1443" w:type="dxa"/>
            <w:gridSpan w:val="3"/>
            <w:tcBorders>
              <w:top w:val="nil"/>
              <w:left w:val="nil"/>
              <w:bottom w:val="nil"/>
              <w:right w:val="nil"/>
            </w:tcBorders>
            <w:noWrap/>
            <w:vAlign w:val="center"/>
          </w:tcPr>
          <w:p>
            <w:pPr>
              <w:jc w:val="center"/>
              <w:rPr>
                <w:rFonts w:ascii="黑体" w:hAnsi="宋体" w:eastAsia="黑体" w:cs="黑体"/>
                <w:color w:val="000000"/>
                <w:sz w:val="24"/>
              </w:rPr>
            </w:pPr>
          </w:p>
        </w:tc>
        <w:tc>
          <w:tcPr>
            <w:tcW w:w="1443" w:type="dxa"/>
            <w:gridSpan w:val="2"/>
            <w:tcBorders>
              <w:top w:val="nil"/>
              <w:left w:val="nil"/>
              <w:bottom w:val="nil"/>
              <w:right w:val="nil"/>
            </w:tcBorders>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trHeight w:val="588" w:hRule="atLeast"/>
        </w:trPr>
        <w:tc>
          <w:tcPr>
            <w:tcW w:w="9686" w:type="dxa"/>
            <w:gridSpan w:val="12"/>
            <w:tcBorders>
              <w:top w:val="nil"/>
              <w:left w:val="nil"/>
              <w:bottom w:val="nil"/>
              <w:right w:val="nil"/>
            </w:tcBorders>
            <w:noWrap/>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b/>
                <w:bCs/>
                <w:color w:val="000000"/>
                <w:kern w:val="0"/>
                <w:sz w:val="36"/>
                <w:szCs w:val="36"/>
              </w:rPr>
              <w:t>2023年县级一般公共预算支出总表(草案)</w:t>
            </w:r>
          </w:p>
        </w:tc>
      </w:tr>
      <w:tr>
        <w:tblPrEx>
          <w:tblCellMar>
            <w:top w:w="0" w:type="dxa"/>
            <w:left w:w="108" w:type="dxa"/>
            <w:bottom w:w="0" w:type="dxa"/>
            <w:right w:w="108" w:type="dxa"/>
          </w:tblCellMar>
        </w:tblPrEx>
        <w:trPr>
          <w:trHeight w:val="330" w:hRule="atLeast"/>
        </w:trPr>
        <w:tc>
          <w:tcPr>
            <w:tcW w:w="3303" w:type="dxa"/>
            <w:gridSpan w:val="2"/>
            <w:tcBorders>
              <w:top w:val="nil"/>
              <w:left w:val="nil"/>
              <w:bottom w:val="nil"/>
              <w:right w:val="nil"/>
            </w:tcBorders>
            <w:noWrap/>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1657" w:type="dxa"/>
            <w:gridSpan w:val="2"/>
            <w:tcBorders>
              <w:top w:val="nil"/>
              <w:left w:val="nil"/>
              <w:bottom w:val="nil"/>
              <w:right w:val="nil"/>
            </w:tcBorders>
            <w:noWrap/>
            <w:vAlign w:val="center"/>
          </w:tcPr>
          <w:p>
            <w:pPr>
              <w:rPr>
                <w:rFonts w:ascii="黑体" w:hAnsi="宋体" w:eastAsia="黑体" w:cs="黑体"/>
                <w:color w:val="000000"/>
                <w:sz w:val="24"/>
              </w:rPr>
            </w:pPr>
          </w:p>
        </w:tc>
        <w:tc>
          <w:tcPr>
            <w:tcW w:w="1840" w:type="dxa"/>
            <w:gridSpan w:val="3"/>
            <w:tcBorders>
              <w:top w:val="nil"/>
              <w:left w:val="nil"/>
              <w:bottom w:val="nil"/>
              <w:right w:val="nil"/>
            </w:tcBorders>
            <w:noWrap/>
            <w:vAlign w:val="center"/>
          </w:tcPr>
          <w:p>
            <w:pPr>
              <w:jc w:val="center"/>
              <w:rPr>
                <w:rFonts w:ascii="黑体" w:hAnsi="宋体" w:eastAsia="黑体" w:cs="黑体"/>
                <w:color w:val="000000"/>
                <w:sz w:val="24"/>
              </w:rPr>
            </w:pPr>
          </w:p>
        </w:tc>
        <w:tc>
          <w:tcPr>
            <w:tcW w:w="1443" w:type="dxa"/>
            <w:gridSpan w:val="3"/>
            <w:tcBorders>
              <w:top w:val="nil"/>
              <w:left w:val="nil"/>
              <w:bottom w:val="nil"/>
              <w:right w:val="nil"/>
            </w:tcBorders>
            <w:noWrap/>
            <w:vAlign w:val="center"/>
          </w:tcPr>
          <w:p>
            <w:pPr>
              <w:jc w:val="center"/>
              <w:rPr>
                <w:rFonts w:ascii="黑体" w:hAnsi="宋体" w:eastAsia="黑体" w:cs="黑体"/>
                <w:color w:val="000000"/>
                <w:sz w:val="24"/>
              </w:rPr>
            </w:pPr>
          </w:p>
        </w:tc>
        <w:tc>
          <w:tcPr>
            <w:tcW w:w="1443" w:type="dxa"/>
            <w:gridSpan w:val="2"/>
            <w:tcBorders>
              <w:top w:val="nil"/>
              <w:left w:val="nil"/>
              <w:bottom w:val="nil"/>
              <w:right w:val="nil"/>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单位:万元</w:t>
            </w:r>
          </w:p>
        </w:tc>
      </w:tr>
      <w:tr>
        <w:tblPrEx>
          <w:tblCellMar>
            <w:top w:w="0" w:type="dxa"/>
            <w:left w:w="108" w:type="dxa"/>
            <w:bottom w:w="0" w:type="dxa"/>
            <w:right w:w="108" w:type="dxa"/>
          </w:tblCellMar>
        </w:tblPrEx>
        <w:trPr>
          <w:trHeight w:val="60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          目</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合计</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当年县本级财力</w:t>
            </w:r>
          </w:p>
        </w:tc>
        <w:tc>
          <w:tcPr>
            <w:tcW w:w="1443"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乡镇财力</w:t>
            </w:r>
          </w:p>
        </w:tc>
        <w:tc>
          <w:tcPr>
            <w:tcW w:w="1443" w:type="dxa"/>
            <w:gridSpan w:val="2"/>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上年结转</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textAlignment w:val="center"/>
              <w:rPr>
                <w:rFonts w:ascii="黑体" w:hAnsi="宋体" w:eastAsia="黑体" w:cs="黑体"/>
                <w:b/>
                <w:color w:val="000000"/>
                <w:sz w:val="24"/>
              </w:rPr>
            </w:pPr>
            <w:r>
              <w:rPr>
                <w:rFonts w:hint="eastAsia" w:ascii="黑体" w:hAnsi="宋体" w:eastAsia="黑体" w:cs="黑体"/>
                <w:b/>
                <w:color w:val="000000"/>
                <w:kern w:val="0"/>
                <w:sz w:val="24"/>
              </w:rPr>
              <w:t>一般预算支出合计</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 xml:space="preserve">477148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 xml:space="preserve">378336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 xml:space="preserve">27000 </w:t>
            </w: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 xml:space="preserve">71812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一般公共服务</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32737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22694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8672 </w:t>
            </w: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1371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auto"/>
                <w:sz w:val="22"/>
                <w:szCs w:val="22"/>
              </w:rPr>
            </w:pPr>
            <w:r>
              <w:rPr>
                <w:rFonts w:hint="eastAsia" w:ascii="黑体" w:hAnsi="宋体" w:eastAsia="黑体" w:cs="黑体"/>
                <w:color w:val="auto"/>
                <w:kern w:val="0"/>
                <w:sz w:val="22"/>
                <w:szCs w:val="22"/>
              </w:rPr>
              <w:t>公共安全</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153</w:t>
            </w:r>
            <w:r>
              <w:rPr>
                <w:rFonts w:hint="eastAsia" w:ascii="黑体" w:hAnsi="宋体" w:eastAsia="黑体" w:cs="黑体"/>
                <w:color w:val="auto"/>
                <w:kern w:val="0"/>
                <w:sz w:val="24"/>
                <w:lang w:val="en-US" w:eastAsia="zh-CN"/>
              </w:rPr>
              <w:t>46</w:t>
            </w:r>
            <w:r>
              <w:rPr>
                <w:rFonts w:hint="eastAsia" w:ascii="黑体" w:hAnsi="宋体" w:eastAsia="黑体" w:cs="黑体"/>
                <w:color w:val="auto"/>
                <w:kern w:val="0"/>
                <w:sz w:val="24"/>
              </w:rPr>
              <w:t xml:space="preserve">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 xml:space="preserve">13580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17</w:t>
            </w:r>
            <w:r>
              <w:rPr>
                <w:rFonts w:hint="eastAsia" w:ascii="黑体" w:hAnsi="宋体" w:eastAsia="黑体" w:cs="黑体"/>
                <w:color w:val="auto"/>
                <w:kern w:val="0"/>
                <w:sz w:val="24"/>
                <w:lang w:val="en-US" w:eastAsia="zh-CN"/>
              </w:rPr>
              <w:t>66</w:t>
            </w:r>
            <w:r>
              <w:rPr>
                <w:rFonts w:hint="eastAsia" w:ascii="黑体" w:hAnsi="宋体" w:eastAsia="黑体" w:cs="黑体"/>
                <w:color w:val="auto"/>
                <w:kern w:val="0"/>
                <w:sz w:val="24"/>
              </w:rPr>
              <w:t xml:space="preserve">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教育</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139816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126004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2311 </w:t>
            </w: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11501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科学技术</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6295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5867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428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文化体育与传媒</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6763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5863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900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社会保障和就业</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57994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50357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4289 </w:t>
            </w: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3348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卫生健康支出</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47872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45049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1593 </w:t>
            </w: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1230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节能环保</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33621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17357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3270 </w:t>
            </w: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12994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城乡社区事务</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4341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2836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1505 </w:t>
            </w: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农林水事务</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79233</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49948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5360 </w:t>
            </w: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23925</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交通运输</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17649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8642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9007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资源勘探工业信息等</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6522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6522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商业服务业等事务</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1151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933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218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自然资源海洋气象等</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2355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2355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住房保障支出</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8474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7120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1354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粮油物资储备</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1329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1267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62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灾害防治及应急管理</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5668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1960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3708 </w:t>
            </w: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债务还本付息</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5782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5782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trHeight w:val="510" w:hRule="atLeast"/>
        </w:trPr>
        <w:tc>
          <w:tcPr>
            <w:tcW w:w="33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预备费</w:t>
            </w:r>
          </w:p>
        </w:tc>
        <w:tc>
          <w:tcPr>
            <w:tcW w:w="1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4200 </w:t>
            </w:r>
          </w:p>
        </w:tc>
        <w:tc>
          <w:tcPr>
            <w:tcW w:w="18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4200 </w:t>
            </w:r>
          </w:p>
        </w:tc>
        <w:tc>
          <w:tcPr>
            <w:tcW w:w="1443"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gridAfter w:val="1"/>
          <w:wAfter w:w="536" w:type="dxa"/>
          <w:trHeight w:val="285" w:hRule="atLeast"/>
        </w:trPr>
        <w:tc>
          <w:tcPr>
            <w:tcW w:w="2990" w:type="dxa"/>
            <w:tcBorders>
              <w:top w:val="nil"/>
              <w:left w:val="nil"/>
              <w:bottom w:val="nil"/>
              <w:right w:val="nil"/>
            </w:tcBorders>
            <w:noWrap/>
            <w:vAlign w:val="center"/>
          </w:tcPr>
          <w:p>
            <w:pPr>
              <w:widowControl/>
              <w:jc w:val="left"/>
              <w:textAlignment w:val="center"/>
              <w:rPr>
                <w:rFonts w:hint="eastAsia" w:ascii="黑体" w:hAnsi="宋体" w:eastAsia="黑体" w:cs="黑体"/>
                <w:color w:val="C00000"/>
                <w:kern w:val="0"/>
                <w:sz w:val="24"/>
              </w:rPr>
            </w:pPr>
          </w:p>
          <w:p>
            <w:pPr>
              <w:widowControl/>
              <w:jc w:val="left"/>
              <w:textAlignment w:val="center"/>
              <w:rPr>
                <w:rFonts w:hint="eastAsia" w:ascii="黑体" w:hAnsi="宋体" w:eastAsia="黑体" w:cs="黑体"/>
                <w:color w:val="C00000"/>
                <w:kern w:val="0"/>
                <w:sz w:val="24"/>
              </w:rPr>
            </w:pPr>
          </w:p>
          <w:p>
            <w:pPr>
              <w:widowControl/>
              <w:jc w:val="left"/>
              <w:textAlignment w:val="center"/>
              <w:rPr>
                <w:rFonts w:ascii="黑体" w:hAnsi="宋体" w:eastAsia="黑体" w:cs="黑体"/>
                <w:color w:val="C00000"/>
                <w:kern w:val="0"/>
                <w:sz w:val="24"/>
              </w:rPr>
            </w:pPr>
          </w:p>
          <w:p>
            <w:pPr>
              <w:widowControl/>
              <w:jc w:val="left"/>
              <w:textAlignment w:val="center"/>
              <w:rPr>
                <w:rFonts w:ascii="黑体" w:hAnsi="宋体" w:eastAsia="黑体" w:cs="黑体"/>
                <w:color w:val="auto"/>
                <w:kern w:val="0"/>
                <w:sz w:val="24"/>
              </w:rPr>
            </w:pPr>
            <w:r>
              <w:rPr>
                <w:rFonts w:hint="eastAsia" w:ascii="黑体" w:hAnsi="宋体" w:eastAsia="黑体" w:cs="黑体"/>
                <w:color w:val="auto"/>
                <w:kern w:val="0"/>
                <w:sz w:val="24"/>
              </w:rPr>
              <w:t>附表八</w:t>
            </w:r>
          </w:p>
          <w:p/>
        </w:tc>
        <w:tc>
          <w:tcPr>
            <w:tcW w:w="2200" w:type="dxa"/>
            <w:gridSpan w:val="4"/>
            <w:tcBorders>
              <w:top w:val="nil"/>
              <w:left w:val="nil"/>
              <w:bottom w:val="nil"/>
              <w:right w:val="nil"/>
            </w:tcBorders>
            <w:noWrap/>
            <w:vAlign w:val="center"/>
          </w:tcPr>
          <w:p>
            <w:pPr>
              <w:jc w:val="center"/>
              <w:rPr>
                <w:rFonts w:ascii="黑体" w:hAnsi="宋体" w:eastAsia="黑体" w:cs="黑体"/>
                <w:color w:val="000000"/>
                <w:sz w:val="24"/>
              </w:rPr>
            </w:pPr>
          </w:p>
        </w:tc>
        <w:tc>
          <w:tcPr>
            <w:tcW w:w="2630" w:type="dxa"/>
            <w:gridSpan w:val="3"/>
            <w:tcBorders>
              <w:top w:val="nil"/>
              <w:left w:val="nil"/>
              <w:bottom w:val="nil"/>
              <w:right w:val="nil"/>
            </w:tcBorders>
            <w:noWrap/>
            <w:vAlign w:val="center"/>
          </w:tcPr>
          <w:p>
            <w:pPr>
              <w:jc w:val="center"/>
              <w:rPr>
                <w:rFonts w:ascii="黑体" w:hAnsi="宋体" w:eastAsia="黑体" w:cs="黑体"/>
                <w:color w:val="000000"/>
                <w:sz w:val="24"/>
              </w:rPr>
            </w:pPr>
          </w:p>
        </w:tc>
        <w:tc>
          <w:tcPr>
            <w:tcW w:w="1330" w:type="dxa"/>
            <w:gridSpan w:val="3"/>
            <w:tcBorders>
              <w:top w:val="nil"/>
              <w:left w:val="nil"/>
              <w:bottom w:val="nil"/>
              <w:right w:val="nil"/>
            </w:tcBorders>
            <w:noWrap/>
            <w:vAlign w:val="center"/>
          </w:tcPr>
          <w:p>
            <w:pPr>
              <w:rPr>
                <w:rFonts w:ascii="黑体" w:hAnsi="宋体" w:eastAsia="黑体" w:cs="黑体"/>
                <w:color w:val="000000"/>
                <w:sz w:val="24"/>
              </w:rPr>
            </w:pPr>
          </w:p>
        </w:tc>
      </w:tr>
      <w:tr>
        <w:tblPrEx>
          <w:tblCellMar>
            <w:top w:w="0" w:type="dxa"/>
            <w:left w:w="108" w:type="dxa"/>
            <w:bottom w:w="0" w:type="dxa"/>
            <w:right w:w="108" w:type="dxa"/>
          </w:tblCellMar>
        </w:tblPrEx>
        <w:trPr>
          <w:gridAfter w:val="1"/>
          <w:wAfter w:w="536" w:type="dxa"/>
          <w:trHeight w:val="720" w:hRule="atLeast"/>
        </w:trPr>
        <w:tc>
          <w:tcPr>
            <w:tcW w:w="9150" w:type="dxa"/>
            <w:gridSpan w:val="11"/>
            <w:tcBorders>
              <w:top w:val="nil"/>
              <w:left w:val="nil"/>
              <w:bottom w:val="nil"/>
              <w:right w:val="nil"/>
            </w:tcBorders>
            <w:noWrap/>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b/>
                <w:bCs/>
                <w:color w:val="000000"/>
                <w:kern w:val="0"/>
                <w:sz w:val="36"/>
                <w:szCs w:val="36"/>
              </w:rPr>
              <w:t>2023年县本级一般公共预算支出表(草案)</w:t>
            </w:r>
          </w:p>
        </w:tc>
      </w:tr>
      <w:tr>
        <w:tblPrEx>
          <w:tblCellMar>
            <w:top w:w="0" w:type="dxa"/>
            <w:left w:w="108" w:type="dxa"/>
            <w:bottom w:w="0" w:type="dxa"/>
            <w:right w:w="108" w:type="dxa"/>
          </w:tblCellMar>
        </w:tblPrEx>
        <w:trPr>
          <w:gridAfter w:val="1"/>
          <w:wAfter w:w="536" w:type="dxa"/>
          <w:trHeight w:val="285" w:hRule="atLeast"/>
        </w:trPr>
        <w:tc>
          <w:tcPr>
            <w:tcW w:w="2990" w:type="dxa"/>
            <w:tcBorders>
              <w:top w:val="nil"/>
              <w:left w:val="nil"/>
              <w:bottom w:val="nil"/>
              <w:right w:val="nil"/>
            </w:tcBorders>
            <w:noWrap/>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2200" w:type="dxa"/>
            <w:gridSpan w:val="4"/>
            <w:tcBorders>
              <w:top w:val="nil"/>
              <w:left w:val="nil"/>
              <w:bottom w:val="nil"/>
              <w:right w:val="nil"/>
            </w:tcBorders>
            <w:noWrap/>
            <w:vAlign w:val="center"/>
          </w:tcPr>
          <w:p>
            <w:pPr>
              <w:jc w:val="center"/>
              <w:rPr>
                <w:rFonts w:ascii="黑体" w:hAnsi="宋体" w:eastAsia="黑体" w:cs="黑体"/>
                <w:color w:val="000000"/>
                <w:sz w:val="24"/>
              </w:rPr>
            </w:pPr>
          </w:p>
        </w:tc>
        <w:tc>
          <w:tcPr>
            <w:tcW w:w="2630" w:type="dxa"/>
            <w:gridSpan w:val="3"/>
            <w:tcBorders>
              <w:top w:val="nil"/>
              <w:left w:val="nil"/>
              <w:bottom w:val="nil"/>
              <w:right w:val="nil"/>
            </w:tcBorders>
            <w:noWrap/>
            <w:vAlign w:val="center"/>
          </w:tcPr>
          <w:p>
            <w:pPr>
              <w:jc w:val="center"/>
              <w:rPr>
                <w:rFonts w:ascii="黑体" w:hAnsi="宋体" w:eastAsia="黑体" w:cs="黑体"/>
                <w:color w:val="000000"/>
                <w:sz w:val="24"/>
              </w:rPr>
            </w:pPr>
          </w:p>
        </w:tc>
        <w:tc>
          <w:tcPr>
            <w:tcW w:w="1330" w:type="dxa"/>
            <w:gridSpan w:val="3"/>
            <w:tcBorders>
              <w:top w:val="nil"/>
              <w:left w:val="nil"/>
              <w:bottom w:val="nil"/>
              <w:right w:val="nil"/>
            </w:tcBorders>
            <w:noWrap/>
            <w:vAlign w:val="center"/>
          </w:tcPr>
          <w:p>
            <w:pPr>
              <w:widowControl/>
              <w:jc w:val="righ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单位:万元</w:t>
            </w:r>
          </w:p>
        </w:tc>
      </w:tr>
      <w:tr>
        <w:tblPrEx>
          <w:tblCellMar>
            <w:top w:w="0" w:type="dxa"/>
            <w:left w:w="108" w:type="dxa"/>
            <w:bottom w:w="0" w:type="dxa"/>
            <w:right w:w="108" w:type="dxa"/>
          </w:tblCellMar>
        </w:tblPrEx>
        <w:trPr>
          <w:gridAfter w:val="1"/>
          <w:wAfter w:w="536" w:type="dxa"/>
          <w:trHeight w:val="800"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          目</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2022年预算数</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2023年预算数</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增长%</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textAlignment w:val="center"/>
              <w:rPr>
                <w:rFonts w:ascii="黑体" w:hAnsi="宋体" w:eastAsia="黑体" w:cs="黑体"/>
                <w:b/>
                <w:color w:val="000000"/>
                <w:sz w:val="24"/>
              </w:rPr>
            </w:pPr>
            <w:r>
              <w:rPr>
                <w:rFonts w:hint="eastAsia" w:ascii="黑体" w:hAnsi="宋体" w:eastAsia="黑体" w:cs="黑体"/>
                <w:b/>
                <w:color w:val="000000"/>
                <w:kern w:val="0"/>
                <w:sz w:val="24"/>
              </w:rPr>
              <w:t>一般预算支出合计</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310763</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378336</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b/>
                <w:color w:val="000000"/>
                <w:sz w:val="24"/>
              </w:rPr>
            </w:pPr>
            <w:r>
              <w:rPr>
                <w:rFonts w:hint="eastAsia" w:ascii="黑体" w:hAnsi="宋体" w:eastAsia="黑体" w:cs="黑体"/>
                <w:b/>
                <w:color w:val="000000"/>
                <w:kern w:val="0"/>
                <w:sz w:val="24"/>
              </w:rPr>
              <w:t xml:space="preserve">21.7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一般公共服务支出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20818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22694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9.0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公共安全支出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12378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13580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9.7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教育支出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102863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126004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22.5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科学技术支出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4286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5867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36.9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文化旅游体育与传媒支出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4935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5863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18.8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社会保障和就业支出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41529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50357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21.3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卫生健康支出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41884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45049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7.6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节能环保支出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8724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17357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99.0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城乡社区支出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2317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2836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22.4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农林水支出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37962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49948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31.6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交通运输支出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6952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8642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24.3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资源勘探工业信息等支出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5187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6522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25.7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商业服务业等支出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658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933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41.8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自然资源海洋气象等支出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2087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2355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12.8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住房保障支出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6319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7120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12.7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粮油物资储备支出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1283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1267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-1.2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灾害防治及应急管理支出</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1081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1960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81.3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债务还本付息</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5700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5782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1.4 </w:t>
            </w:r>
          </w:p>
        </w:tc>
      </w:tr>
      <w:tr>
        <w:tblPrEx>
          <w:tblCellMar>
            <w:top w:w="0" w:type="dxa"/>
            <w:left w:w="108" w:type="dxa"/>
            <w:bottom w:w="0" w:type="dxa"/>
            <w:right w:w="108" w:type="dxa"/>
          </w:tblCellMar>
        </w:tblPrEx>
        <w:trPr>
          <w:gridAfter w:val="1"/>
          <w:wAfter w:w="536" w:type="dxa"/>
          <w:cantSplit/>
          <w:trHeight w:val="539" w:hRule="atLeast"/>
        </w:trPr>
        <w:tc>
          <w:tcPr>
            <w:tcW w:w="2990"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预备费</w:t>
            </w:r>
          </w:p>
        </w:tc>
        <w:tc>
          <w:tcPr>
            <w:tcW w:w="220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3800 </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4200 </w:t>
            </w:r>
          </w:p>
        </w:tc>
        <w:tc>
          <w:tcPr>
            <w:tcW w:w="133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 xml:space="preserve">10.5 </w:t>
            </w:r>
          </w:p>
        </w:tc>
      </w:tr>
    </w:tbl>
    <w:p>
      <w:pPr>
        <w:widowControl/>
        <w:jc w:val="left"/>
        <w:textAlignment w:val="bottom"/>
        <w:rPr>
          <w:rFonts w:hint="eastAsia" w:ascii="黑体" w:hAnsi="宋体" w:eastAsia="黑体" w:cs="黑体"/>
          <w:color w:val="000000"/>
          <w:kern w:val="0"/>
          <w:sz w:val="24"/>
        </w:rPr>
        <w:sectPr>
          <w:pgSz w:w="11906" w:h="16838"/>
          <w:pgMar w:top="1440" w:right="1474" w:bottom="1440" w:left="1531" w:header="851" w:footer="992" w:gutter="0"/>
          <w:cols w:space="425" w:num="1"/>
          <w:docGrid w:type="lines" w:linePitch="312" w:charSpace="0"/>
        </w:sectPr>
      </w:pPr>
    </w:p>
    <w:tbl>
      <w:tblPr>
        <w:tblStyle w:val="7"/>
        <w:tblW w:w="86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17"/>
        <w:gridCol w:w="1896"/>
        <w:gridCol w:w="1896"/>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610" w:type="dxa"/>
            <w:gridSpan w:val="4"/>
            <w:tcBorders>
              <w:top w:val="nil"/>
              <w:left w:val="nil"/>
              <w:bottom w:val="nil"/>
              <w:right w:val="nil"/>
            </w:tcBorders>
            <w:shd w:val="clear" w:color="auto" w:fill="auto"/>
            <w:noWrap/>
            <w:vAlign w:val="center"/>
          </w:tcPr>
          <w:p>
            <w:pPr>
              <w:widowControl/>
              <w:jc w:val="left"/>
              <w:textAlignment w:val="center"/>
              <w:rPr>
                <w:rFonts w:hint="default" w:ascii="黑体" w:hAnsi="宋体" w:eastAsia="黑体" w:cs="黑体"/>
                <w:color w:val="auto"/>
                <w:kern w:val="0"/>
                <w:sz w:val="24"/>
                <w:lang w:val="en-US" w:eastAsia="zh-CN"/>
              </w:rPr>
            </w:pPr>
            <w:r>
              <w:rPr>
                <w:rFonts w:hint="eastAsia" w:ascii="黑体" w:hAnsi="宋体" w:eastAsia="黑体" w:cs="黑体"/>
                <w:color w:val="auto"/>
                <w:kern w:val="0"/>
                <w:sz w:val="24"/>
                <w:lang w:val="en-US" w:eastAsia="zh-CN"/>
              </w:rPr>
              <w:t>附件九</w:t>
            </w:r>
          </w:p>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2023年政府性基金预算收入表（草案）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内乡县财政局</w:t>
            </w:r>
          </w:p>
        </w:tc>
        <w:tc>
          <w:tcPr>
            <w:tcW w:w="0" w:type="auto"/>
            <w:gridSpan w:val="2"/>
            <w:tcBorders>
              <w:top w:val="nil"/>
              <w:left w:val="nil"/>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2022年完成数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2023年预算数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政府性基金收入合计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161305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111.9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污水处理费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国有土地收益基金收入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农业土地开发资金收入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国有土地使用权出让收入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城市基础设施配套费收入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福利彩票销售机构的业务费用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150.0 </w:t>
            </w:r>
          </w:p>
        </w:tc>
      </w:tr>
    </w:tbl>
    <w:p>
      <w:pPr>
        <w:widowControl/>
        <w:jc w:val="left"/>
        <w:textAlignment w:val="bottom"/>
        <w:rPr>
          <w:rFonts w:hint="eastAsia" w:ascii="黑体" w:hAnsi="宋体" w:eastAsia="黑体" w:cs="黑体"/>
          <w:color w:val="000000"/>
          <w:kern w:val="0"/>
          <w:sz w:val="24"/>
        </w:rPr>
        <w:sectPr>
          <w:pgSz w:w="11906" w:h="16838"/>
          <w:pgMar w:top="1440" w:right="1474" w:bottom="1440" w:left="1531" w:header="851" w:footer="992" w:gutter="0"/>
          <w:cols w:space="425" w:num="1"/>
          <w:docGrid w:type="lines" w:linePitch="312" w:charSpace="0"/>
        </w:sectPr>
      </w:pPr>
    </w:p>
    <w:tbl>
      <w:tblPr>
        <w:tblStyle w:val="7"/>
        <w:tblW w:w="9665" w:type="dxa"/>
        <w:tblInd w:w="91" w:type="dxa"/>
        <w:tblLayout w:type="fixed"/>
        <w:tblCellMar>
          <w:top w:w="0" w:type="dxa"/>
          <w:left w:w="108" w:type="dxa"/>
          <w:bottom w:w="0" w:type="dxa"/>
          <w:right w:w="108" w:type="dxa"/>
        </w:tblCellMar>
      </w:tblPr>
      <w:tblGrid>
        <w:gridCol w:w="5281"/>
        <w:gridCol w:w="1533"/>
        <w:gridCol w:w="1400"/>
        <w:gridCol w:w="1348"/>
        <w:gridCol w:w="103"/>
      </w:tblGrid>
      <w:tr>
        <w:tblPrEx>
          <w:tblCellMar>
            <w:top w:w="0" w:type="dxa"/>
            <w:left w:w="108" w:type="dxa"/>
            <w:bottom w:w="0" w:type="dxa"/>
            <w:right w:w="108" w:type="dxa"/>
          </w:tblCellMar>
        </w:tblPrEx>
        <w:trPr>
          <w:gridAfter w:val="1"/>
          <w:wAfter w:w="103" w:type="dxa"/>
          <w:trHeight w:val="285" w:hRule="atLeast"/>
        </w:trPr>
        <w:tc>
          <w:tcPr>
            <w:tcW w:w="5281" w:type="dxa"/>
            <w:tcBorders>
              <w:top w:val="nil"/>
              <w:left w:val="nil"/>
              <w:bottom w:val="nil"/>
              <w:right w:val="nil"/>
            </w:tcBorders>
            <w:noWrap/>
            <w:vAlign w:val="bottom"/>
          </w:tcPr>
          <w:p>
            <w:pPr>
              <w:widowControl/>
              <w:jc w:val="left"/>
              <w:textAlignment w:val="bottom"/>
              <w:rPr>
                <w:rFonts w:hint="eastAsia" w:ascii="黑体" w:hAnsi="宋体" w:eastAsia="黑体" w:cs="黑体"/>
                <w:color w:val="auto"/>
                <w:kern w:val="0"/>
                <w:sz w:val="24"/>
              </w:rPr>
            </w:pPr>
          </w:p>
          <w:p>
            <w:pPr>
              <w:widowControl/>
              <w:jc w:val="left"/>
              <w:textAlignment w:val="bottom"/>
              <w:rPr>
                <w:rFonts w:ascii="黑体" w:hAnsi="宋体" w:eastAsia="黑体" w:cs="黑体"/>
                <w:color w:val="auto"/>
                <w:kern w:val="0"/>
                <w:sz w:val="24"/>
              </w:rPr>
            </w:pPr>
            <w:r>
              <w:rPr>
                <w:rFonts w:hint="eastAsia" w:ascii="黑体" w:hAnsi="宋体" w:eastAsia="黑体" w:cs="黑体"/>
                <w:color w:val="auto"/>
                <w:kern w:val="0"/>
                <w:sz w:val="24"/>
              </w:rPr>
              <w:t>附表十</w:t>
            </w:r>
          </w:p>
        </w:tc>
        <w:tc>
          <w:tcPr>
            <w:tcW w:w="1533" w:type="dxa"/>
            <w:tcBorders>
              <w:top w:val="nil"/>
              <w:left w:val="nil"/>
              <w:bottom w:val="nil"/>
              <w:right w:val="nil"/>
            </w:tcBorders>
            <w:noWrap/>
            <w:vAlign w:val="bottom"/>
          </w:tcPr>
          <w:p>
            <w:pPr>
              <w:rPr>
                <w:rFonts w:ascii="黑体" w:hAnsi="宋体" w:eastAsia="黑体" w:cs="黑体"/>
                <w:color w:val="auto"/>
                <w:sz w:val="24"/>
              </w:rPr>
            </w:pPr>
          </w:p>
        </w:tc>
        <w:tc>
          <w:tcPr>
            <w:tcW w:w="1400" w:type="dxa"/>
            <w:tcBorders>
              <w:top w:val="nil"/>
              <w:left w:val="nil"/>
              <w:bottom w:val="nil"/>
              <w:right w:val="nil"/>
            </w:tcBorders>
            <w:noWrap/>
            <w:vAlign w:val="bottom"/>
          </w:tcPr>
          <w:p>
            <w:pPr>
              <w:rPr>
                <w:rFonts w:ascii="黑体" w:hAnsi="宋体" w:eastAsia="黑体" w:cs="黑体"/>
                <w:color w:val="auto"/>
                <w:sz w:val="24"/>
              </w:rPr>
            </w:pPr>
          </w:p>
        </w:tc>
        <w:tc>
          <w:tcPr>
            <w:tcW w:w="1348" w:type="dxa"/>
            <w:tcBorders>
              <w:top w:val="nil"/>
              <w:left w:val="nil"/>
              <w:bottom w:val="nil"/>
              <w:right w:val="nil"/>
            </w:tcBorders>
            <w:noWrap/>
            <w:vAlign w:val="bottom"/>
          </w:tcPr>
          <w:p>
            <w:pPr>
              <w:rPr>
                <w:rFonts w:ascii="黑体" w:hAnsi="宋体" w:eastAsia="黑体" w:cs="黑体"/>
                <w:color w:val="auto"/>
                <w:sz w:val="24"/>
              </w:rPr>
            </w:pPr>
          </w:p>
        </w:tc>
      </w:tr>
      <w:tr>
        <w:tblPrEx>
          <w:tblCellMar>
            <w:top w:w="0" w:type="dxa"/>
            <w:left w:w="108" w:type="dxa"/>
            <w:bottom w:w="0" w:type="dxa"/>
            <w:right w:w="108" w:type="dxa"/>
          </w:tblCellMar>
        </w:tblPrEx>
        <w:trPr>
          <w:trHeight w:val="510" w:hRule="atLeast"/>
        </w:trPr>
        <w:tc>
          <w:tcPr>
            <w:tcW w:w="9665" w:type="dxa"/>
            <w:gridSpan w:val="5"/>
            <w:tcBorders>
              <w:top w:val="nil"/>
              <w:left w:val="nil"/>
              <w:bottom w:val="nil"/>
              <w:right w:val="nil"/>
            </w:tcBorders>
            <w:noWrap/>
            <w:vAlign w:val="bottom"/>
          </w:tcPr>
          <w:p>
            <w:pPr>
              <w:widowControl/>
              <w:jc w:val="center"/>
              <w:textAlignment w:val="bottom"/>
              <w:rPr>
                <w:rFonts w:ascii="黑体" w:hAnsi="宋体" w:eastAsia="黑体" w:cs="黑体"/>
                <w:b/>
                <w:bCs/>
                <w:color w:val="auto"/>
                <w:sz w:val="36"/>
                <w:szCs w:val="36"/>
              </w:rPr>
            </w:pPr>
            <w:r>
              <w:rPr>
                <w:rFonts w:hint="eastAsia" w:ascii="黑体" w:hAnsi="宋体" w:eastAsia="黑体" w:cs="黑体"/>
                <w:b/>
                <w:bCs/>
                <w:color w:val="auto"/>
                <w:kern w:val="0"/>
                <w:sz w:val="36"/>
                <w:szCs w:val="36"/>
              </w:rPr>
              <w:t>2023年政府性基金预算支出表（草案）</w:t>
            </w:r>
          </w:p>
        </w:tc>
      </w:tr>
      <w:tr>
        <w:tblPrEx>
          <w:tblCellMar>
            <w:top w:w="0" w:type="dxa"/>
            <w:left w:w="108" w:type="dxa"/>
            <w:bottom w:w="0" w:type="dxa"/>
            <w:right w:w="108" w:type="dxa"/>
          </w:tblCellMar>
        </w:tblPrEx>
        <w:trPr>
          <w:gridAfter w:val="1"/>
          <w:wAfter w:w="103" w:type="dxa"/>
          <w:trHeight w:val="495" w:hRule="atLeast"/>
        </w:trPr>
        <w:tc>
          <w:tcPr>
            <w:tcW w:w="5281" w:type="dxa"/>
            <w:tcBorders>
              <w:top w:val="nil"/>
              <w:left w:val="nil"/>
              <w:bottom w:val="nil"/>
              <w:right w:val="nil"/>
            </w:tcBorders>
            <w:noWrap/>
            <w:vAlign w:val="bottom"/>
          </w:tcPr>
          <w:p>
            <w:pPr>
              <w:widowControl/>
              <w:jc w:val="left"/>
              <w:textAlignment w:val="bottom"/>
              <w:rPr>
                <w:rFonts w:ascii="黑体" w:hAnsi="宋体" w:eastAsia="黑体" w:cs="黑体"/>
                <w:color w:val="auto"/>
                <w:sz w:val="24"/>
              </w:rPr>
            </w:pPr>
            <w:r>
              <w:rPr>
                <w:rFonts w:hint="eastAsia" w:ascii="黑体" w:hAnsi="宋体" w:eastAsia="黑体" w:cs="黑体"/>
                <w:color w:val="auto"/>
                <w:kern w:val="0"/>
                <w:sz w:val="24"/>
              </w:rPr>
              <w:t>内乡县财政局</w:t>
            </w:r>
          </w:p>
        </w:tc>
        <w:tc>
          <w:tcPr>
            <w:tcW w:w="1533" w:type="dxa"/>
            <w:tcBorders>
              <w:top w:val="nil"/>
              <w:left w:val="nil"/>
              <w:bottom w:val="nil"/>
              <w:right w:val="nil"/>
            </w:tcBorders>
            <w:noWrap/>
            <w:vAlign w:val="bottom"/>
          </w:tcPr>
          <w:p>
            <w:pPr>
              <w:jc w:val="left"/>
              <w:rPr>
                <w:rFonts w:ascii="黑体" w:hAnsi="宋体" w:eastAsia="黑体" w:cs="黑体"/>
                <w:color w:val="auto"/>
                <w:sz w:val="24"/>
              </w:rPr>
            </w:pPr>
          </w:p>
        </w:tc>
        <w:tc>
          <w:tcPr>
            <w:tcW w:w="1400" w:type="dxa"/>
            <w:tcBorders>
              <w:top w:val="nil"/>
              <w:left w:val="nil"/>
              <w:bottom w:val="nil"/>
              <w:right w:val="nil"/>
            </w:tcBorders>
            <w:noWrap/>
            <w:vAlign w:val="bottom"/>
          </w:tcPr>
          <w:p>
            <w:pPr>
              <w:jc w:val="left"/>
              <w:rPr>
                <w:rFonts w:ascii="黑体" w:hAnsi="宋体" w:eastAsia="黑体" w:cs="黑体"/>
                <w:color w:val="auto"/>
                <w:sz w:val="24"/>
              </w:rPr>
            </w:pPr>
          </w:p>
        </w:tc>
        <w:tc>
          <w:tcPr>
            <w:tcW w:w="1348" w:type="dxa"/>
            <w:tcBorders>
              <w:top w:val="nil"/>
              <w:left w:val="nil"/>
              <w:bottom w:val="single" w:color="auto" w:sz="4" w:space="0"/>
              <w:right w:val="nil"/>
            </w:tcBorders>
            <w:noWrap/>
            <w:vAlign w:val="bottom"/>
          </w:tcPr>
          <w:p>
            <w:pPr>
              <w:jc w:val="right"/>
              <w:rPr>
                <w:rFonts w:ascii="黑体" w:hAnsi="宋体" w:eastAsia="黑体" w:cs="黑体"/>
                <w:color w:val="auto"/>
                <w:sz w:val="24"/>
              </w:rPr>
            </w:pPr>
          </w:p>
        </w:tc>
      </w:tr>
      <w:tr>
        <w:tblPrEx>
          <w:tblCellMar>
            <w:top w:w="0" w:type="dxa"/>
            <w:left w:w="108" w:type="dxa"/>
            <w:bottom w:w="0" w:type="dxa"/>
            <w:right w:w="108" w:type="dxa"/>
          </w:tblCellMar>
        </w:tblPrEx>
        <w:trPr>
          <w:gridAfter w:val="1"/>
          <w:wAfter w:w="103" w:type="dxa"/>
          <w:trHeight w:val="643" w:hRule="atLeast"/>
        </w:trPr>
        <w:tc>
          <w:tcPr>
            <w:tcW w:w="52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项         目</w:t>
            </w:r>
          </w:p>
        </w:tc>
        <w:tc>
          <w:tcPr>
            <w:tcW w:w="153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2022年预算数</w:t>
            </w:r>
          </w:p>
        </w:tc>
        <w:tc>
          <w:tcPr>
            <w:tcW w:w="1400" w:type="dxa"/>
            <w:vMerge w:val="restart"/>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2023年预算数</w:t>
            </w:r>
          </w:p>
        </w:tc>
        <w:tc>
          <w:tcPr>
            <w:tcW w:w="13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增长%</w:t>
            </w:r>
          </w:p>
        </w:tc>
      </w:tr>
      <w:tr>
        <w:tblPrEx>
          <w:tblCellMar>
            <w:top w:w="0" w:type="dxa"/>
            <w:left w:w="108" w:type="dxa"/>
            <w:bottom w:w="0" w:type="dxa"/>
            <w:right w:w="108" w:type="dxa"/>
          </w:tblCellMar>
        </w:tblPrEx>
        <w:trPr>
          <w:gridAfter w:val="1"/>
          <w:wAfter w:w="103" w:type="dxa"/>
          <w:trHeight w:val="643" w:hRule="atLeast"/>
        </w:trPr>
        <w:tc>
          <w:tcPr>
            <w:tcW w:w="52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c>
          <w:tcPr>
            <w:tcW w:w="15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c>
          <w:tcPr>
            <w:tcW w:w="1400"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ascii="黑体" w:hAnsi="宋体" w:eastAsia="黑体" w:cs="黑体"/>
                <w:color w:val="auto"/>
                <w:sz w:val="24"/>
              </w:rPr>
            </w:pPr>
          </w:p>
        </w:tc>
        <w:tc>
          <w:tcPr>
            <w:tcW w:w="134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黑体" w:hAnsi="宋体" w:eastAsia="黑体" w:cs="黑体"/>
                <w:color w:val="auto"/>
                <w:sz w:val="24"/>
              </w:rPr>
            </w:pP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b/>
                <w:color w:val="auto"/>
                <w:sz w:val="24"/>
              </w:rPr>
            </w:pPr>
            <w:r>
              <w:rPr>
                <w:rFonts w:hint="eastAsia" w:ascii="黑体" w:hAnsi="宋体" w:eastAsia="黑体" w:cs="黑体"/>
                <w:b/>
                <w:color w:val="auto"/>
                <w:kern w:val="0"/>
                <w:sz w:val="24"/>
              </w:rPr>
              <w:t>政府性基金支出合计</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auto"/>
                <w:sz w:val="24"/>
              </w:rPr>
            </w:pPr>
            <w:r>
              <w:rPr>
                <w:rFonts w:hint="eastAsia" w:ascii="黑体" w:hAnsi="宋体" w:eastAsia="黑体" w:cs="黑体"/>
                <w:b/>
                <w:color w:val="auto"/>
                <w:kern w:val="0"/>
                <w:sz w:val="24"/>
              </w:rPr>
              <w:t>220605</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auto"/>
                <w:sz w:val="24"/>
              </w:rPr>
            </w:pPr>
            <w:r>
              <w:rPr>
                <w:rFonts w:hint="eastAsia" w:ascii="黑体" w:hAnsi="宋体" w:eastAsia="黑体" w:cs="黑体"/>
                <w:b/>
                <w:color w:val="auto"/>
                <w:kern w:val="0"/>
                <w:sz w:val="24"/>
              </w:rPr>
              <w:t>204905</w:t>
            </w:r>
          </w:p>
        </w:tc>
        <w:tc>
          <w:tcPr>
            <w:tcW w:w="1348"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color w:val="auto"/>
                <w:sz w:val="24"/>
              </w:rPr>
            </w:pPr>
            <w:r>
              <w:rPr>
                <w:rFonts w:hint="eastAsia" w:ascii="黑体" w:hAnsi="宋体" w:eastAsia="黑体" w:cs="黑体"/>
                <w:b/>
                <w:color w:val="auto"/>
                <w:kern w:val="0"/>
                <w:sz w:val="24"/>
              </w:rPr>
              <w:t xml:space="preserve">-7.1 </w:t>
            </w: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auto"/>
                <w:sz w:val="24"/>
              </w:rPr>
            </w:pPr>
            <w:r>
              <w:rPr>
                <w:rFonts w:hint="eastAsia" w:ascii="黑体" w:hAnsi="宋体" w:eastAsia="黑体" w:cs="黑体"/>
                <w:color w:val="auto"/>
                <w:kern w:val="0"/>
                <w:sz w:val="24"/>
              </w:rPr>
              <w:t>城乡社区事务</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161600</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146997</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 xml:space="preserve">-9.0 </w:t>
            </w: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960" w:firstLineChars="400"/>
              <w:textAlignment w:val="center"/>
              <w:rPr>
                <w:rFonts w:ascii="黑体" w:hAnsi="宋体" w:eastAsia="黑体" w:cs="黑体"/>
                <w:color w:val="auto"/>
                <w:sz w:val="24"/>
              </w:rPr>
            </w:pPr>
            <w:r>
              <w:rPr>
                <w:rFonts w:hint="eastAsia" w:ascii="黑体" w:hAnsi="宋体" w:eastAsia="黑体" w:cs="黑体"/>
                <w:color w:val="auto"/>
                <w:kern w:val="0"/>
                <w:sz w:val="24"/>
              </w:rPr>
              <w:t>国有土地使用权出让收入安排的支出</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0"/>
              </w:tabs>
              <w:jc w:val="center"/>
              <w:textAlignment w:val="center"/>
              <w:rPr>
                <w:rFonts w:ascii="黑体" w:hAnsi="宋体" w:eastAsia="黑体" w:cs="黑体"/>
                <w:color w:val="auto"/>
                <w:sz w:val="24"/>
              </w:rPr>
            </w:pPr>
            <w:r>
              <w:rPr>
                <w:rFonts w:hint="eastAsia" w:ascii="黑体" w:hAnsi="宋体" w:eastAsia="黑体" w:cs="黑体"/>
                <w:color w:val="auto"/>
                <w:kern w:val="0"/>
                <w:sz w:val="24"/>
              </w:rPr>
              <w:t>159400</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139697</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 xml:space="preserve">-12.4 </w:t>
            </w: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960" w:firstLineChars="400"/>
              <w:textAlignment w:val="center"/>
              <w:rPr>
                <w:rFonts w:ascii="黑体" w:hAnsi="宋体" w:eastAsia="黑体" w:cs="黑体"/>
                <w:color w:val="auto"/>
                <w:sz w:val="24"/>
              </w:rPr>
            </w:pPr>
            <w:r>
              <w:rPr>
                <w:rFonts w:hint="eastAsia" w:ascii="黑体" w:hAnsi="宋体" w:eastAsia="黑体" w:cs="黑体"/>
                <w:color w:val="auto"/>
                <w:kern w:val="0"/>
                <w:sz w:val="24"/>
              </w:rPr>
              <w:t>国有土地收益基金支出</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900</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5000</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 xml:space="preserve">455.6 </w:t>
            </w: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960" w:firstLineChars="400"/>
              <w:textAlignment w:val="center"/>
              <w:rPr>
                <w:rFonts w:ascii="黑体" w:hAnsi="宋体" w:eastAsia="黑体" w:cs="黑体"/>
                <w:color w:val="auto"/>
                <w:sz w:val="24"/>
              </w:rPr>
            </w:pPr>
            <w:r>
              <w:rPr>
                <w:rFonts w:hint="eastAsia" w:ascii="黑体" w:hAnsi="宋体" w:eastAsia="黑体" w:cs="黑体"/>
                <w:color w:val="auto"/>
                <w:kern w:val="0"/>
                <w:sz w:val="24"/>
              </w:rPr>
              <w:t>农业土地开发资金支出</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1000</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960" w:firstLineChars="400"/>
              <w:textAlignment w:val="center"/>
              <w:rPr>
                <w:rFonts w:ascii="黑体" w:hAnsi="宋体" w:eastAsia="黑体" w:cs="黑体"/>
                <w:color w:val="auto"/>
                <w:sz w:val="24"/>
              </w:rPr>
            </w:pPr>
            <w:r>
              <w:rPr>
                <w:rFonts w:hint="eastAsia" w:ascii="黑体" w:hAnsi="宋体" w:eastAsia="黑体" w:cs="黑体"/>
                <w:color w:val="auto"/>
                <w:kern w:val="0"/>
                <w:sz w:val="24"/>
              </w:rPr>
              <w:t>城市基础设施配套费安排的支出</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1200</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1200</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960" w:firstLineChars="400"/>
              <w:textAlignment w:val="center"/>
              <w:rPr>
                <w:rFonts w:ascii="黑体" w:hAnsi="宋体" w:eastAsia="黑体" w:cs="黑体"/>
                <w:color w:val="auto"/>
                <w:sz w:val="24"/>
              </w:rPr>
            </w:pPr>
            <w:r>
              <w:rPr>
                <w:rFonts w:hint="eastAsia" w:ascii="黑体" w:hAnsi="宋体" w:eastAsia="黑体" w:cs="黑体"/>
                <w:color w:val="auto"/>
                <w:kern w:val="0"/>
                <w:sz w:val="24"/>
              </w:rPr>
              <w:t>污水处理费安排的支出</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100</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100</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auto"/>
                <w:sz w:val="24"/>
              </w:rPr>
            </w:pPr>
            <w:r>
              <w:rPr>
                <w:rFonts w:hint="eastAsia" w:ascii="黑体" w:hAnsi="宋体" w:eastAsia="黑体" w:cs="黑体"/>
                <w:color w:val="auto"/>
                <w:kern w:val="0"/>
                <w:sz w:val="24"/>
              </w:rPr>
              <w:t>其他支出</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5</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5</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960" w:firstLineChars="400"/>
              <w:jc w:val="left"/>
              <w:textAlignment w:val="center"/>
              <w:rPr>
                <w:rFonts w:ascii="黑体" w:hAnsi="宋体" w:eastAsia="黑体" w:cs="黑体"/>
                <w:color w:val="auto"/>
                <w:sz w:val="24"/>
              </w:rPr>
            </w:pPr>
            <w:r>
              <w:rPr>
                <w:rFonts w:hint="eastAsia" w:ascii="黑体" w:hAnsi="宋体" w:eastAsia="黑体" w:cs="黑体"/>
                <w:color w:val="auto"/>
                <w:kern w:val="0"/>
                <w:sz w:val="24"/>
              </w:rPr>
              <w:t>福利彩票销售机构的业务费支出</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5</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5</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auto"/>
                <w:sz w:val="24"/>
              </w:rPr>
            </w:pP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auto"/>
                <w:sz w:val="24"/>
              </w:rPr>
            </w:pPr>
            <w:r>
              <w:rPr>
                <w:rFonts w:hint="eastAsia" w:ascii="黑体" w:hAnsi="宋体" w:eastAsia="黑体" w:cs="黑体"/>
                <w:color w:val="auto"/>
                <w:kern w:val="0"/>
                <w:sz w:val="24"/>
              </w:rPr>
              <w:t>地方自行试点项目收益专项债券支出</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39300</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43600</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 xml:space="preserve">10.9 </w:t>
            </w:r>
          </w:p>
        </w:tc>
      </w:tr>
      <w:tr>
        <w:tblPrEx>
          <w:tblCellMar>
            <w:top w:w="0" w:type="dxa"/>
            <w:left w:w="108" w:type="dxa"/>
            <w:bottom w:w="0" w:type="dxa"/>
            <w:right w:w="108" w:type="dxa"/>
          </w:tblCellMar>
        </w:tblPrEx>
        <w:trPr>
          <w:gridAfter w:val="1"/>
          <w:wAfter w:w="103" w:type="dxa"/>
          <w:trHeight w:val="798" w:hRule="atLeast"/>
        </w:trPr>
        <w:tc>
          <w:tcPr>
            <w:tcW w:w="5281" w:type="dxa"/>
            <w:tcBorders>
              <w:top w:val="single" w:color="000000" w:sz="4" w:space="0"/>
              <w:left w:val="single" w:color="000000" w:sz="4" w:space="0"/>
              <w:bottom w:val="single" w:color="000000" w:sz="4" w:space="0"/>
              <w:right w:val="single" w:color="000000" w:sz="4" w:space="0"/>
            </w:tcBorders>
            <w:noWrap/>
            <w:vAlign w:val="center"/>
          </w:tcPr>
          <w:p>
            <w:pPr>
              <w:widowControl/>
              <w:ind w:firstLine="960" w:firstLineChars="400"/>
              <w:jc w:val="left"/>
              <w:textAlignment w:val="center"/>
              <w:rPr>
                <w:rFonts w:ascii="黑体" w:hAnsi="宋体" w:eastAsia="黑体" w:cs="黑体"/>
                <w:color w:val="auto"/>
                <w:sz w:val="24"/>
              </w:rPr>
            </w:pPr>
            <w:r>
              <w:rPr>
                <w:rFonts w:hint="eastAsia" w:ascii="黑体" w:hAnsi="宋体" w:eastAsia="黑体" w:cs="黑体"/>
                <w:color w:val="auto"/>
                <w:kern w:val="0"/>
                <w:sz w:val="24"/>
              </w:rPr>
              <w:t>债务</w:t>
            </w:r>
            <w:r>
              <w:rPr>
                <w:rFonts w:hint="eastAsia" w:ascii="黑体" w:hAnsi="宋体" w:eastAsia="黑体" w:cs="黑体"/>
                <w:color w:val="auto"/>
                <w:kern w:val="0"/>
                <w:sz w:val="24"/>
                <w:lang w:eastAsia="zh-CN"/>
              </w:rPr>
              <w:t>还本</w:t>
            </w:r>
            <w:r>
              <w:rPr>
                <w:rFonts w:hint="eastAsia" w:ascii="黑体" w:hAnsi="宋体" w:eastAsia="黑体" w:cs="黑体"/>
                <w:color w:val="auto"/>
                <w:kern w:val="0"/>
                <w:sz w:val="24"/>
              </w:rPr>
              <w:t xml:space="preserve">付息支出  </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lang w:val="en-US" w:eastAsia="zh-CN"/>
              </w:rPr>
              <w:t>1</w:t>
            </w:r>
            <w:r>
              <w:rPr>
                <w:rFonts w:hint="eastAsia" w:ascii="黑体" w:hAnsi="宋体" w:eastAsia="黑体" w:cs="黑体"/>
                <w:color w:val="auto"/>
                <w:kern w:val="0"/>
                <w:sz w:val="24"/>
              </w:rPr>
              <w:t>9700</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auto"/>
                <w:sz w:val="24"/>
              </w:rPr>
            </w:pPr>
            <w:r>
              <w:rPr>
                <w:rFonts w:hint="eastAsia" w:ascii="黑体" w:hAnsi="宋体" w:eastAsia="黑体" w:cs="黑体"/>
                <w:color w:val="auto"/>
                <w:kern w:val="0"/>
                <w:sz w:val="24"/>
              </w:rPr>
              <w:t>14303</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黑体" w:hAnsi="宋体" w:eastAsia="黑体" w:cs="黑体"/>
                <w:color w:val="auto"/>
                <w:sz w:val="24"/>
                <w:lang w:val="en-US" w:eastAsia="zh-CN"/>
              </w:rPr>
            </w:pPr>
            <w:r>
              <w:rPr>
                <w:rFonts w:hint="eastAsia" w:ascii="黑体" w:hAnsi="宋体" w:eastAsia="黑体" w:cs="黑体"/>
                <w:color w:val="auto"/>
                <w:kern w:val="0"/>
                <w:sz w:val="24"/>
                <w:lang w:val="en-US" w:eastAsia="zh-CN"/>
              </w:rPr>
              <w:t>-27.4</w:t>
            </w:r>
          </w:p>
        </w:tc>
      </w:tr>
    </w:tbl>
    <w:p>
      <w:pPr>
        <w:pStyle w:val="2"/>
        <w:spacing w:before="156" w:after="156"/>
        <w:rPr>
          <w:color w:val="C00000"/>
        </w:rPr>
      </w:pPr>
    </w:p>
    <w:p>
      <w:pPr>
        <w:rPr>
          <w:color w:val="C00000"/>
        </w:rPr>
      </w:pPr>
    </w:p>
    <w:p>
      <w:pPr>
        <w:rPr>
          <w:color w:val="C00000"/>
        </w:rPr>
      </w:pPr>
    </w:p>
    <w:p>
      <w:pPr>
        <w:rPr>
          <w:color w:val="C00000"/>
        </w:rPr>
      </w:pPr>
    </w:p>
    <w:tbl>
      <w:tblPr>
        <w:tblStyle w:val="7"/>
        <w:tblW w:w="9570" w:type="dxa"/>
        <w:tblInd w:w="93" w:type="dxa"/>
        <w:tblLayout w:type="autofit"/>
        <w:tblCellMar>
          <w:top w:w="0" w:type="dxa"/>
          <w:left w:w="108" w:type="dxa"/>
          <w:bottom w:w="0" w:type="dxa"/>
          <w:right w:w="108" w:type="dxa"/>
        </w:tblCellMar>
      </w:tblPr>
      <w:tblGrid>
        <w:gridCol w:w="3960"/>
        <w:gridCol w:w="1870"/>
        <w:gridCol w:w="1870"/>
        <w:gridCol w:w="1870"/>
      </w:tblGrid>
      <w:tr>
        <w:tblPrEx>
          <w:tblCellMar>
            <w:top w:w="0" w:type="dxa"/>
            <w:left w:w="108" w:type="dxa"/>
            <w:bottom w:w="0" w:type="dxa"/>
            <w:right w:w="108" w:type="dxa"/>
          </w:tblCellMar>
        </w:tblPrEx>
        <w:trPr>
          <w:trHeight w:val="285" w:hRule="atLeast"/>
        </w:trPr>
        <w:tc>
          <w:tcPr>
            <w:tcW w:w="3960" w:type="dxa"/>
            <w:tcBorders>
              <w:top w:val="nil"/>
              <w:left w:val="nil"/>
              <w:bottom w:val="nil"/>
              <w:right w:val="nil"/>
            </w:tcBorders>
            <w:noWrap/>
            <w:vAlign w:val="bottom"/>
          </w:tcPr>
          <w:p>
            <w:pPr>
              <w:widowControl/>
              <w:jc w:val="left"/>
              <w:textAlignment w:val="bottom"/>
              <w:rPr>
                <w:rFonts w:ascii="黑体" w:hAnsi="宋体" w:eastAsia="黑体" w:cs="黑体"/>
                <w:color w:val="C00000"/>
                <w:sz w:val="24"/>
              </w:rPr>
            </w:pPr>
            <w:r>
              <w:rPr>
                <w:rFonts w:hint="eastAsia" w:ascii="黑体" w:hAnsi="宋体" w:eastAsia="黑体" w:cs="黑体"/>
                <w:color w:val="auto"/>
                <w:kern w:val="0"/>
                <w:sz w:val="24"/>
              </w:rPr>
              <w:t>附表十一</w:t>
            </w:r>
          </w:p>
        </w:tc>
        <w:tc>
          <w:tcPr>
            <w:tcW w:w="1870" w:type="dxa"/>
            <w:tcBorders>
              <w:top w:val="nil"/>
              <w:left w:val="nil"/>
              <w:bottom w:val="nil"/>
              <w:right w:val="nil"/>
            </w:tcBorders>
            <w:noWrap/>
            <w:vAlign w:val="bottom"/>
          </w:tcPr>
          <w:p>
            <w:pPr>
              <w:rPr>
                <w:rFonts w:ascii="黑体" w:hAnsi="宋体" w:eastAsia="黑体" w:cs="黑体"/>
                <w:color w:val="C00000"/>
                <w:sz w:val="24"/>
              </w:rPr>
            </w:pPr>
          </w:p>
        </w:tc>
        <w:tc>
          <w:tcPr>
            <w:tcW w:w="1870" w:type="dxa"/>
            <w:tcBorders>
              <w:top w:val="nil"/>
              <w:left w:val="nil"/>
              <w:bottom w:val="nil"/>
              <w:right w:val="nil"/>
            </w:tcBorders>
            <w:noWrap/>
            <w:vAlign w:val="bottom"/>
          </w:tcPr>
          <w:p>
            <w:pPr>
              <w:rPr>
                <w:rFonts w:ascii="黑体" w:hAnsi="宋体" w:eastAsia="黑体" w:cs="黑体"/>
                <w:color w:val="C00000"/>
                <w:sz w:val="24"/>
              </w:rPr>
            </w:pPr>
          </w:p>
        </w:tc>
        <w:tc>
          <w:tcPr>
            <w:tcW w:w="1870" w:type="dxa"/>
            <w:tcBorders>
              <w:top w:val="nil"/>
              <w:left w:val="nil"/>
              <w:bottom w:val="nil"/>
              <w:right w:val="nil"/>
            </w:tcBorders>
            <w:noWrap/>
            <w:vAlign w:val="bottom"/>
          </w:tcPr>
          <w:p>
            <w:pPr>
              <w:rPr>
                <w:rFonts w:ascii="黑体" w:hAnsi="宋体" w:eastAsia="黑体" w:cs="黑体"/>
                <w:color w:val="C00000"/>
                <w:sz w:val="24"/>
              </w:rPr>
            </w:pPr>
          </w:p>
        </w:tc>
      </w:tr>
      <w:tr>
        <w:tblPrEx>
          <w:tblCellMar>
            <w:top w:w="0" w:type="dxa"/>
            <w:left w:w="108" w:type="dxa"/>
            <w:bottom w:w="0" w:type="dxa"/>
            <w:right w:w="108" w:type="dxa"/>
          </w:tblCellMar>
        </w:tblPrEx>
        <w:trPr>
          <w:trHeight w:val="1033" w:hRule="atLeast"/>
        </w:trPr>
        <w:tc>
          <w:tcPr>
            <w:tcW w:w="0" w:type="auto"/>
            <w:gridSpan w:val="4"/>
            <w:tcBorders>
              <w:top w:val="nil"/>
              <w:left w:val="nil"/>
              <w:bottom w:val="nil"/>
              <w:right w:val="nil"/>
            </w:tcBorders>
            <w:noWrap/>
            <w:vAlign w:val="center"/>
          </w:tcPr>
          <w:p>
            <w:pPr>
              <w:widowControl/>
              <w:jc w:val="center"/>
              <w:textAlignment w:val="center"/>
              <w:rPr>
                <w:rFonts w:ascii="黑体" w:hAnsi="宋体" w:eastAsia="黑体" w:cs="黑体"/>
                <w:b/>
                <w:bCs/>
                <w:color w:val="000000"/>
                <w:sz w:val="36"/>
                <w:szCs w:val="36"/>
              </w:rPr>
            </w:pPr>
            <w:r>
              <w:rPr>
                <w:rFonts w:hint="eastAsia" w:ascii="黑体" w:hAnsi="宋体" w:eastAsia="黑体" w:cs="黑体"/>
                <w:b/>
                <w:bCs/>
                <w:color w:val="000000"/>
                <w:kern w:val="0"/>
                <w:sz w:val="36"/>
                <w:szCs w:val="36"/>
              </w:rPr>
              <w:t>2023年社保基金预算收支计划表（草案）</w:t>
            </w:r>
          </w:p>
        </w:tc>
      </w:tr>
      <w:tr>
        <w:tblPrEx>
          <w:tblCellMar>
            <w:top w:w="0" w:type="dxa"/>
            <w:left w:w="108" w:type="dxa"/>
            <w:bottom w:w="0" w:type="dxa"/>
            <w:right w:w="108" w:type="dxa"/>
          </w:tblCellMar>
        </w:tblPrEx>
        <w:trPr>
          <w:trHeight w:val="495" w:hRule="atLeast"/>
        </w:trPr>
        <w:tc>
          <w:tcPr>
            <w:tcW w:w="0" w:type="auto"/>
            <w:tcBorders>
              <w:top w:val="nil"/>
              <w:left w:val="nil"/>
              <w:bottom w:val="nil"/>
              <w:right w:val="nil"/>
            </w:tcBorders>
            <w:noWrap/>
            <w:vAlign w:val="bottom"/>
          </w:tcPr>
          <w:p>
            <w:pPr>
              <w:widowControl/>
              <w:jc w:val="left"/>
              <w:textAlignment w:val="bottom"/>
              <w:rPr>
                <w:rFonts w:ascii="黑体" w:hAnsi="宋体" w:eastAsia="黑体" w:cs="黑体"/>
                <w:color w:val="000000"/>
                <w:sz w:val="24"/>
              </w:rPr>
            </w:pPr>
            <w:r>
              <w:rPr>
                <w:rFonts w:hint="eastAsia" w:ascii="黑体" w:hAnsi="宋体" w:eastAsia="黑体" w:cs="黑体"/>
                <w:color w:val="000000"/>
                <w:kern w:val="0"/>
                <w:sz w:val="24"/>
              </w:rPr>
              <w:t>内乡县财政局</w:t>
            </w:r>
          </w:p>
        </w:tc>
        <w:tc>
          <w:tcPr>
            <w:tcW w:w="0" w:type="auto"/>
            <w:tcBorders>
              <w:top w:val="nil"/>
              <w:left w:val="nil"/>
              <w:bottom w:val="nil"/>
              <w:right w:val="nil"/>
            </w:tcBorders>
            <w:noWrap/>
            <w:vAlign w:val="bottom"/>
          </w:tcPr>
          <w:p>
            <w:pPr>
              <w:jc w:val="left"/>
              <w:rPr>
                <w:rFonts w:ascii="黑体" w:hAnsi="宋体" w:eastAsia="黑体" w:cs="黑体"/>
                <w:color w:val="000000"/>
                <w:sz w:val="24"/>
              </w:rPr>
            </w:pPr>
          </w:p>
        </w:tc>
        <w:tc>
          <w:tcPr>
            <w:tcW w:w="0" w:type="auto"/>
            <w:gridSpan w:val="2"/>
            <w:tcBorders>
              <w:top w:val="nil"/>
              <w:left w:val="nil"/>
              <w:bottom w:val="single" w:color="000000" w:sz="4" w:space="0"/>
              <w:right w:val="nil"/>
            </w:tcBorders>
            <w:noWrap/>
            <w:vAlign w:val="bottom"/>
          </w:tcPr>
          <w:p>
            <w:pPr>
              <w:widowControl/>
              <w:jc w:val="right"/>
              <w:textAlignment w:val="bottom"/>
              <w:rPr>
                <w:rFonts w:ascii="黑体" w:hAnsi="宋体" w:eastAsia="黑体" w:cs="黑体"/>
                <w:color w:val="000000"/>
                <w:sz w:val="24"/>
              </w:rPr>
            </w:pPr>
            <w:r>
              <w:rPr>
                <w:rFonts w:hint="eastAsia" w:ascii="黑体" w:hAnsi="宋体" w:eastAsia="黑体" w:cs="黑体"/>
                <w:color w:val="000000"/>
                <w:kern w:val="0"/>
                <w:sz w:val="24"/>
              </w:rPr>
              <w:t>单位：万元</w:t>
            </w:r>
          </w:p>
        </w:tc>
      </w:tr>
      <w:tr>
        <w:tblPrEx>
          <w:tblCellMar>
            <w:top w:w="0" w:type="dxa"/>
            <w:left w:w="108" w:type="dxa"/>
            <w:bottom w:w="0" w:type="dxa"/>
            <w:right w:w="108" w:type="dxa"/>
          </w:tblCellMar>
        </w:tblPrEx>
        <w:trPr>
          <w:trHeight w:val="64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         目</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收入预算</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支出预算</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动用滚存结余</w:t>
            </w:r>
          </w:p>
        </w:tc>
      </w:tr>
      <w:tr>
        <w:tblPrEx>
          <w:tblCellMar>
            <w:top w:w="0" w:type="dxa"/>
            <w:left w:w="108" w:type="dxa"/>
            <w:bottom w:w="0" w:type="dxa"/>
            <w:right w:w="108" w:type="dxa"/>
          </w:tblCellMar>
        </w:tblPrEx>
        <w:trPr>
          <w:trHeight w:val="64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r>
      <w:tr>
        <w:tblPrEx>
          <w:tblCellMar>
            <w:top w:w="0" w:type="dxa"/>
            <w:left w:w="108" w:type="dxa"/>
            <w:bottom w:w="0" w:type="dxa"/>
            <w:right w:w="108" w:type="dxa"/>
          </w:tblCellMar>
        </w:tblPrEx>
        <w:trPr>
          <w:trHeight w:val="79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合      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65213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49706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3000</w:t>
            </w:r>
          </w:p>
        </w:tc>
      </w:tr>
      <w:tr>
        <w:tblPrEx>
          <w:tblCellMar>
            <w:top w:w="0" w:type="dxa"/>
            <w:left w:w="108" w:type="dxa"/>
            <w:bottom w:w="0" w:type="dxa"/>
            <w:right w:w="108" w:type="dxa"/>
          </w:tblCellMar>
        </w:tblPrEx>
        <w:trPr>
          <w:trHeight w:val="79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机关事业养老保险基金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29660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32660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3000 </w:t>
            </w:r>
          </w:p>
        </w:tc>
      </w:tr>
      <w:tr>
        <w:tblPrEx>
          <w:tblCellMar>
            <w:top w:w="0" w:type="dxa"/>
            <w:left w:w="108" w:type="dxa"/>
            <w:bottom w:w="0" w:type="dxa"/>
            <w:right w:w="108" w:type="dxa"/>
          </w:tblCellMar>
        </w:tblPrEx>
        <w:trPr>
          <w:trHeight w:val="798" w:hRule="atLeast"/>
        </w:trPr>
        <w:tc>
          <w:tcPr>
            <w:tcW w:w="3960" w:type="dxa"/>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黑体" w:hAnsi="宋体" w:eastAsia="黑体" w:cs="黑体"/>
                <w:color w:val="000000"/>
                <w:sz w:val="24"/>
              </w:rPr>
            </w:pPr>
            <w:r>
              <w:rPr>
                <w:rFonts w:hint="eastAsia" w:ascii="黑体" w:hAnsi="宋体" w:eastAsia="黑体" w:cs="黑体"/>
                <w:color w:val="000000"/>
                <w:kern w:val="0"/>
                <w:sz w:val="24"/>
              </w:rPr>
              <w:t>城乡居民基本养老保险基金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35553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17046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color w:val="000000"/>
                <w:sz w:val="24"/>
              </w:rPr>
            </w:pPr>
          </w:p>
        </w:tc>
      </w:tr>
    </w:tbl>
    <w:p>
      <w:pPr>
        <w:pStyle w:val="2"/>
        <w:spacing w:before="156" w:after="156"/>
      </w:pPr>
    </w:p>
    <w:p/>
    <w:p/>
    <w:p/>
    <w:p/>
    <w:p/>
    <w:p/>
    <w:p/>
    <w:p/>
    <w:p/>
    <w:p/>
    <w:p/>
    <w:p/>
    <w:p/>
    <w:p/>
    <w:p/>
    <w:p/>
    <w:p/>
    <w:p/>
    <w:p/>
    <w:p/>
    <w:p/>
    <w:p>
      <w:pPr>
        <w:pBdr>
          <w:top w:val="single" w:color="auto" w:sz="4" w:space="0"/>
          <w:bottom w:val="single" w:color="auto" w:sz="4" w:space="0"/>
        </w:pBd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内乡县</w:t>
      </w:r>
      <w:r>
        <w:rPr>
          <w:rFonts w:ascii="仿宋_GB2312" w:hAnsi="仿宋_GB2312" w:eastAsia="仿宋_GB2312" w:cs="仿宋_GB2312"/>
          <w:sz w:val="32"/>
          <w:szCs w:val="32"/>
        </w:rPr>
        <w:t>十六届</w:t>
      </w:r>
      <w:r>
        <w:rPr>
          <w:rFonts w:hint="eastAsia" w:ascii="仿宋_GB2312" w:hAnsi="仿宋_GB2312" w:eastAsia="仿宋_GB2312" w:cs="仿宋_GB2312"/>
          <w:sz w:val="32"/>
          <w:szCs w:val="32"/>
        </w:rPr>
        <w:t>人大三</w:t>
      </w:r>
      <w:r>
        <w:rPr>
          <w:rFonts w:ascii="仿宋_GB2312" w:hAnsi="仿宋_GB2312" w:eastAsia="仿宋_GB2312" w:cs="仿宋_GB2312"/>
          <w:sz w:val="32"/>
          <w:szCs w:val="32"/>
        </w:rPr>
        <w:t>次</w:t>
      </w:r>
      <w:r>
        <w:rPr>
          <w:rFonts w:hint="eastAsia" w:ascii="仿宋_GB2312" w:hAnsi="仿宋_GB2312" w:eastAsia="仿宋_GB2312" w:cs="仿宋_GB2312"/>
          <w:sz w:val="32"/>
          <w:szCs w:val="32"/>
        </w:rPr>
        <w:t>会议大会秘书处</w:t>
      </w:r>
      <w:r>
        <w:rPr>
          <w:rFonts w:ascii="仿宋_GB2312" w:eastAsia="仿宋_GB2312"/>
          <w:bCs/>
          <w:color w:val="000000"/>
          <w:sz w:val="32"/>
          <w:szCs w:val="32"/>
        </w:rPr>
        <w:t>202</w:t>
      </w:r>
      <w:r>
        <w:rPr>
          <w:rFonts w:hint="eastAsia" w:ascii="仿宋_GB2312" w:eastAsia="仿宋_GB2312"/>
          <w:bCs/>
          <w:color w:val="000000"/>
          <w:sz w:val="32"/>
          <w:szCs w:val="32"/>
        </w:rPr>
        <w:t>3年3月26日印</w:t>
      </w:r>
    </w:p>
    <w:sectPr>
      <w:pgSz w:w="11906" w:h="16838"/>
      <w:pgMar w:top="1440" w:right="1474"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4"/>
                          </w:pPr>
                          <w:r>
                            <w:t>—</w:t>
                          </w:r>
                          <w:r>
                            <w:fldChar w:fldCharType="begin"/>
                          </w:r>
                          <w:r>
                            <w:instrText xml:space="preserve"> PAGE  \* MERGEFORMAT </w:instrText>
                          </w:r>
                          <w:r>
                            <w:fldChar w:fldCharType="separate"/>
                          </w:r>
                          <w:r>
                            <w:t>27</w:t>
                          </w:r>
                          <w:r>
                            <w:fldChar w:fldCharType="end"/>
                          </w:r>
                          <w:r>
                            <w:t>—</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6pebnPAAAA&#10;BQEAAA8AAAAAAAAAAQAgAAAAOAAAAGRycy9kb3ducmV2LnhtbFBLAQIUABQAAAAIAIdO4kDrIo5y&#10;1wEAAJIDAAAOAAAAAAAAAAEAIAAAADQBAABkcnMvZTJvRG9jLnhtbFBLBQYAAAAABgAGAFkBAAB9&#10;BQAAAAA=&#10;">
              <v:fill on="f" focussize="0,0"/>
              <v:stroke on="f"/>
              <v:imagedata o:title=""/>
              <o:lock v:ext="edit" aspectratio="f"/>
              <v:textbox inset="0mm,0mm,0mm,0mm" style="mso-fit-shape-to-text:t;">
                <w:txbxContent>
                  <w:p>
                    <w:pPr>
                      <w:pStyle w:val="4"/>
                    </w:pPr>
                    <w:r>
                      <w:t>—</w:t>
                    </w:r>
                    <w:r>
                      <w:fldChar w:fldCharType="begin"/>
                    </w:r>
                    <w:r>
                      <w:instrText xml:space="preserve"> PAGE  \* MERGEFORMAT </w:instrText>
                    </w:r>
                    <w:r>
                      <w:fldChar w:fldCharType="separate"/>
                    </w:r>
                    <w:r>
                      <w:t>27</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ZjgyYzhkYWJlZDVlYWFkNmIxZjQxYTkwY2Q4YmMifQ=="/>
  </w:docVars>
  <w:rsids>
    <w:rsidRoot w:val="2F006A40"/>
    <w:rsid w:val="00016E21"/>
    <w:rsid w:val="00020C94"/>
    <w:rsid w:val="00026904"/>
    <w:rsid w:val="000362B8"/>
    <w:rsid w:val="00036565"/>
    <w:rsid w:val="00061C7C"/>
    <w:rsid w:val="0009020A"/>
    <w:rsid w:val="00095C52"/>
    <w:rsid w:val="000A12D6"/>
    <w:rsid w:val="000A3692"/>
    <w:rsid w:val="000B57A7"/>
    <w:rsid w:val="000D5CF5"/>
    <w:rsid w:val="00105D27"/>
    <w:rsid w:val="00116CD6"/>
    <w:rsid w:val="00125EEF"/>
    <w:rsid w:val="001317C1"/>
    <w:rsid w:val="001479C6"/>
    <w:rsid w:val="00165742"/>
    <w:rsid w:val="00165DBC"/>
    <w:rsid w:val="001713E0"/>
    <w:rsid w:val="00171B0D"/>
    <w:rsid w:val="00176B45"/>
    <w:rsid w:val="00183573"/>
    <w:rsid w:val="001A7E2C"/>
    <w:rsid w:val="001D12D8"/>
    <w:rsid w:val="001F32C7"/>
    <w:rsid w:val="00204418"/>
    <w:rsid w:val="002358E6"/>
    <w:rsid w:val="00246B40"/>
    <w:rsid w:val="002777BD"/>
    <w:rsid w:val="002830A8"/>
    <w:rsid w:val="00286C8D"/>
    <w:rsid w:val="002A2B2E"/>
    <w:rsid w:val="002A3AD3"/>
    <w:rsid w:val="002A6D1C"/>
    <w:rsid w:val="002B2635"/>
    <w:rsid w:val="002C409C"/>
    <w:rsid w:val="002C61F7"/>
    <w:rsid w:val="002D3BC7"/>
    <w:rsid w:val="002E4523"/>
    <w:rsid w:val="002E6FA3"/>
    <w:rsid w:val="003120C8"/>
    <w:rsid w:val="00325530"/>
    <w:rsid w:val="003443DD"/>
    <w:rsid w:val="00352605"/>
    <w:rsid w:val="00373CFB"/>
    <w:rsid w:val="003817F7"/>
    <w:rsid w:val="0038698D"/>
    <w:rsid w:val="003D25BA"/>
    <w:rsid w:val="003E2D57"/>
    <w:rsid w:val="003F0C0D"/>
    <w:rsid w:val="0040474D"/>
    <w:rsid w:val="004245A4"/>
    <w:rsid w:val="00441036"/>
    <w:rsid w:val="00482D77"/>
    <w:rsid w:val="00496D69"/>
    <w:rsid w:val="004A2213"/>
    <w:rsid w:val="004C7FE1"/>
    <w:rsid w:val="004D37B4"/>
    <w:rsid w:val="004E3067"/>
    <w:rsid w:val="00504D47"/>
    <w:rsid w:val="00523062"/>
    <w:rsid w:val="00525655"/>
    <w:rsid w:val="00530CFF"/>
    <w:rsid w:val="005324BA"/>
    <w:rsid w:val="0055744C"/>
    <w:rsid w:val="0056795B"/>
    <w:rsid w:val="00572308"/>
    <w:rsid w:val="00572CAF"/>
    <w:rsid w:val="005C35CE"/>
    <w:rsid w:val="005E0CE7"/>
    <w:rsid w:val="005F2C03"/>
    <w:rsid w:val="005F54BC"/>
    <w:rsid w:val="00605FF1"/>
    <w:rsid w:val="006076C3"/>
    <w:rsid w:val="00672868"/>
    <w:rsid w:val="00680F5A"/>
    <w:rsid w:val="00684E33"/>
    <w:rsid w:val="00692EEA"/>
    <w:rsid w:val="0069610D"/>
    <w:rsid w:val="00697049"/>
    <w:rsid w:val="006A0349"/>
    <w:rsid w:val="006B4D32"/>
    <w:rsid w:val="006D370A"/>
    <w:rsid w:val="00784D76"/>
    <w:rsid w:val="00787B2A"/>
    <w:rsid w:val="00796AC3"/>
    <w:rsid w:val="007C202B"/>
    <w:rsid w:val="007F1CAA"/>
    <w:rsid w:val="007F782E"/>
    <w:rsid w:val="00803E9F"/>
    <w:rsid w:val="00842292"/>
    <w:rsid w:val="00844756"/>
    <w:rsid w:val="00846138"/>
    <w:rsid w:val="0085144D"/>
    <w:rsid w:val="00860DA5"/>
    <w:rsid w:val="00877EE5"/>
    <w:rsid w:val="00883815"/>
    <w:rsid w:val="008A5BB3"/>
    <w:rsid w:val="008B1170"/>
    <w:rsid w:val="008D0977"/>
    <w:rsid w:val="00907D39"/>
    <w:rsid w:val="00917F6B"/>
    <w:rsid w:val="009421D3"/>
    <w:rsid w:val="0095407F"/>
    <w:rsid w:val="00993430"/>
    <w:rsid w:val="009A6A60"/>
    <w:rsid w:val="009B1C76"/>
    <w:rsid w:val="009B4080"/>
    <w:rsid w:val="009B4F13"/>
    <w:rsid w:val="009D7B49"/>
    <w:rsid w:val="009E6529"/>
    <w:rsid w:val="00A201F5"/>
    <w:rsid w:val="00A228C5"/>
    <w:rsid w:val="00A27660"/>
    <w:rsid w:val="00A44F65"/>
    <w:rsid w:val="00A76288"/>
    <w:rsid w:val="00A85D77"/>
    <w:rsid w:val="00A862C7"/>
    <w:rsid w:val="00AA06DF"/>
    <w:rsid w:val="00AC4866"/>
    <w:rsid w:val="00AD3271"/>
    <w:rsid w:val="00AF5477"/>
    <w:rsid w:val="00B068E7"/>
    <w:rsid w:val="00B12079"/>
    <w:rsid w:val="00B1580F"/>
    <w:rsid w:val="00B4408B"/>
    <w:rsid w:val="00B6444F"/>
    <w:rsid w:val="00B6599D"/>
    <w:rsid w:val="00B81412"/>
    <w:rsid w:val="00B912F8"/>
    <w:rsid w:val="00BD09A5"/>
    <w:rsid w:val="00BE25BC"/>
    <w:rsid w:val="00BE3A75"/>
    <w:rsid w:val="00BF35D2"/>
    <w:rsid w:val="00BF42AD"/>
    <w:rsid w:val="00C0489E"/>
    <w:rsid w:val="00C216A3"/>
    <w:rsid w:val="00C221A3"/>
    <w:rsid w:val="00C32D41"/>
    <w:rsid w:val="00C4794E"/>
    <w:rsid w:val="00C47F31"/>
    <w:rsid w:val="00C60488"/>
    <w:rsid w:val="00CA0299"/>
    <w:rsid w:val="00CA0B0B"/>
    <w:rsid w:val="00CA7B60"/>
    <w:rsid w:val="00CF43A2"/>
    <w:rsid w:val="00D04580"/>
    <w:rsid w:val="00D0793A"/>
    <w:rsid w:val="00D23533"/>
    <w:rsid w:val="00D34806"/>
    <w:rsid w:val="00D36874"/>
    <w:rsid w:val="00D57F22"/>
    <w:rsid w:val="00D75780"/>
    <w:rsid w:val="00D75E41"/>
    <w:rsid w:val="00D760DB"/>
    <w:rsid w:val="00D77025"/>
    <w:rsid w:val="00DA12BD"/>
    <w:rsid w:val="00DE264B"/>
    <w:rsid w:val="00E67580"/>
    <w:rsid w:val="00E676A8"/>
    <w:rsid w:val="00E84AC7"/>
    <w:rsid w:val="00EA74BC"/>
    <w:rsid w:val="00EB7755"/>
    <w:rsid w:val="00EC5146"/>
    <w:rsid w:val="00ED6893"/>
    <w:rsid w:val="00EE46E2"/>
    <w:rsid w:val="00EF25C7"/>
    <w:rsid w:val="00EF3C0A"/>
    <w:rsid w:val="00F44F4E"/>
    <w:rsid w:val="00F56FC0"/>
    <w:rsid w:val="00F65D9E"/>
    <w:rsid w:val="00F76E84"/>
    <w:rsid w:val="00F87B93"/>
    <w:rsid w:val="00FA58E0"/>
    <w:rsid w:val="00FB1CFC"/>
    <w:rsid w:val="00FB5935"/>
    <w:rsid w:val="00FE178F"/>
    <w:rsid w:val="00FF2F41"/>
    <w:rsid w:val="01F64D0F"/>
    <w:rsid w:val="06461A90"/>
    <w:rsid w:val="085B3B1D"/>
    <w:rsid w:val="09A84B40"/>
    <w:rsid w:val="11E701D0"/>
    <w:rsid w:val="171D2151"/>
    <w:rsid w:val="1B72216E"/>
    <w:rsid w:val="1C536B8E"/>
    <w:rsid w:val="1E4C7FAF"/>
    <w:rsid w:val="1ED82200"/>
    <w:rsid w:val="1F120F82"/>
    <w:rsid w:val="262C1A5D"/>
    <w:rsid w:val="2CC36668"/>
    <w:rsid w:val="2DAB1B97"/>
    <w:rsid w:val="2EB060C2"/>
    <w:rsid w:val="2F006A40"/>
    <w:rsid w:val="33323549"/>
    <w:rsid w:val="37EE37B7"/>
    <w:rsid w:val="3FEC66E6"/>
    <w:rsid w:val="42903DE8"/>
    <w:rsid w:val="45C80A6A"/>
    <w:rsid w:val="48FD33F9"/>
    <w:rsid w:val="4A4C2CEB"/>
    <w:rsid w:val="4DA456CB"/>
    <w:rsid w:val="50CD4535"/>
    <w:rsid w:val="571F1B6C"/>
    <w:rsid w:val="5AF30F60"/>
    <w:rsid w:val="619D0D81"/>
    <w:rsid w:val="662621EA"/>
    <w:rsid w:val="6B5703B0"/>
    <w:rsid w:val="77C40607"/>
    <w:rsid w:val="78EE565D"/>
    <w:rsid w:val="7FF461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Lines="50" w:afterLines="50" w:line="360" w:lineRule="auto"/>
      <w:outlineLvl w:val="1"/>
    </w:pPr>
    <w:rPr>
      <w:rFonts w:ascii="Cambria" w:hAnsi="Cambria" w:eastAsia="楷体_GB2312"/>
      <w:b/>
      <w:sz w:val="32"/>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ind w:left="120"/>
    </w:pPr>
    <w:rPr>
      <w:rFonts w:ascii="仿宋" w:hAnsi="仿宋" w:eastAsia="仿宋" w:cs="仿宋"/>
      <w:kern w:val="0"/>
      <w:sz w:val="32"/>
      <w:szCs w:val="32"/>
      <w:lang w:val="zh-CN" w:bidi="zh-CN"/>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textAlignment w:val="baseline"/>
    </w:pPr>
    <w:rPr>
      <w:rFonts w:ascii="Calibri" w:hAnsi="Calibri" w:eastAsia="宋体"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正文文本 Char"/>
    <w:basedOn w:val="8"/>
    <w:link w:val="3"/>
    <w:qFormat/>
    <w:uiPriority w:val="1"/>
    <w:rPr>
      <w:rFonts w:ascii="仿宋" w:hAnsi="仿宋" w:eastAsia="仿宋" w:cs="仿宋"/>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10824</Words>
  <Characters>13144</Characters>
  <Lines>30</Lines>
  <Paragraphs>28</Paragraphs>
  <TotalTime>7</TotalTime>
  <ScaleCrop>false</ScaleCrop>
  <LinksUpToDate>false</LinksUpToDate>
  <CharactersWithSpaces>13373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2023-01-28T09:47:00Z</dcterms:created>
  <dc:creator>遗忘</dc:creator>
  <cp:lastModifiedBy>kylin</cp:lastModifiedBy>
  <cp:lastPrinted>2023-03-23T09:52:00Z</cp:lastPrinted>
  <dcterms:modified xsi:type="dcterms:W3CDTF">2023-09-05T08:16:03Z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A9B0724806364C8888FEFAE7F2AE2E15</vt:lpwstr>
  </property>
</Properties>
</file>