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内乡县先进制造业开发区标准体系及基准值编制情况的</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说   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inorEastAsia" w:hAnsiTheme="minorEastAsia" w:eastAsiaTheme="minorEastAsia" w:cstheme="min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b/>
          <w:bCs/>
          <w:sz w:val="32"/>
          <w:szCs w:val="32"/>
          <w:lang w:val="en-US" w:eastAsia="zh-CN"/>
        </w:rPr>
        <w:t>一、制定背景</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为推动我省开发区高质量发展，省政府于2022年5月10日印发了《关于实施开发区标准体系及基准值（试行）的通知》（豫政办[2022]43号），对全省开发区</w:t>
      </w:r>
      <w:r>
        <w:rPr>
          <w:rFonts w:hint="eastAsia" w:asciiTheme="minorEastAsia" w:hAnsiTheme="minorEastAsia" w:cstheme="minorEastAsia"/>
          <w:sz w:val="32"/>
          <w:szCs w:val="32"/>
          <w:lang w:val="en-US" w:eastAsia="zh-CN"/>
        </w:rPr>
        <w:t>新建（改建、扩建）项目</w:t>
      </w:r>
      <w:r>
        <w:rPr>
          <w:rFonts w:hint="eastAsia" w:asciiTheme="minorEastAsia" w:hAnsiTheme="minorEastAsia" w:eastAsiaTheme="minorEastAsia" w:cstheme="minorEastAsia"/>
          <w:sz w:val="32"/>
          <w:szCs w:val="32"/>
          <w:lang w:val="en-US" w:eastAsia="zh-CN"/>
        </w:rPr>
        <w:t>亩均投资强度、亩均税收、容积率、建筑系数、能效水平等指标进行了明确。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1、明确了开发区标准体系及基准值，</w:t>
      </w:r>
      <w:r>
        <w:rPr>
          <w:rFonts w:hint="eastAsia" w:asciiTheme="minorEastAsia" w:hAnsiTheme="minorEastAsia" w:eastAsiaTheme="minorEastAsia" w:cstheme="minorEastAsia"/>
          <w:sz w:val="32"/>
          <w:szCs w:val="32"/>
        </w:rPr>
        <w:t>其中包括两部分</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一是为</w:t>
      </w:r>
      <w:r>
        <w:rPr>
          <w:rFonts w:hint="eastAsia" w:asciiTheme="minorEastAsia" w:hAnsiTheme="minorEastAsia" w:eastAsiaTheme="minorEastAsia" w:cstheme="minorEastAsia"/>
          <w:sz w:val="32"/>
          <w:szCs w:val="32"/>
        </w:rPr>
        <w:t>开发区</w:t>
      </w:r>
      <w:r>
        <w:rPr>
          <w:rFonts w:hint="eastAsia" w:asciiTheme="minorEastAsia" w:hAnsiTheme="minorEastAsia" w:cstheme="minorEastAsia"/>
          <w:sz w:val="32"/>
          <w:szCs w:val="32"/>
          <w:lang w:val="en-US" w:eastAsia="zh-CN"/>
        </w:rPr>
        <w:t>新建（改建、扩建）项目</w:t>
      </w:r>
      <w:r>
        <w:rPr>
          <w:rFonts w:hint="eastAsia" w:asciiTheme="minorEastAsia" w:hAnsiTheme="minorEastAsia" w:eastAsiaTheme="minorEastAsia" w:cstheme="minorEastAsia"/>
          <w:sz w:val="32"/>
          <w:szCs w:val="32"/>
        </w:rPr>
        <w:t>设置亩均投资强度</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600万/亩</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、亩均税收</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20万/亩</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两个推荐性指标；</w:t>
      </w:r>
      <w:r>
        <w:rPr>
          <w:rFonts w:hint="eastAsia" w:asciiTheme="minorEastAsia" w:hAnsiTheme="minorEastAsia" w:eastAsiaTheme="minorEastAsia" w:cstheme="minorEastAsia"/>
          <w:sz w:val="32"/>
          <w:szCs w:val="32"/>
          <w:lang w:val="en-US" w:eastAsia="zh-CN"/>
        </w:rPr>
        <w:t>二是为</w:t>
      </w:r>
      <w:r>
        <w:rPr>
          <w:rFonts w:hint="eastAsia" w:asciiTheme="minorEastAsia" w:hAnsiTheme="minorEastAsia" w:eastAsiaTheme="minorEastAsia" w:cstheme="minorEastAsia"/>
          <w:sz w:val="32"/>
          <w:szCs w:val="32"/>
        </w:rPr>
        <w:t>开发区新建（改建、扩建）项目设置亩均投资强度、亩均税收、容积率、建筑系数、能效水平等控制性指标。</w:t>
      </w:r>
      <w:r>
        <w:rPr>
          <w:rFonts w:hint="eastAsia" w:asciiTheme="minorEastAsia" w:hAnsiTheme="minorEastAsia" w:eastAsiaTheme="minorEastAsia" w:cstheme="minorEastAsia"/>
          <w:sz w:val="32"/>
          <w:szCs w:val="32"/>
          <w:lang w:val="en-US" w:eastAsia="zh-CN"/>
        </w:rPr>
        <w:t>控制性指标涵盖了农副食品加工业、医药制造业、通用设备制造业等32个行业，不同行业</w:t>
      </w:r>
      <w:r>
        <w:rPr>
          <w:rFonts w:hint="eastAsia" w:asciiTheme="minorEastAsia" w:hAnsiTheme="minorEastAsia" w:cstheme="minorEastAsia"/>
          <w:sz w:val="32"/>
          <w:szCs w:val="32"/>
          <w:lang w:val="en-US" w:eastAsia="zh-CN"/>
        </w:rPr>
        <w:t>又</w:t>
      </w:r>
      <w:r>
        <w:rPr>
          <w:rFonts w:hint="eastAsia" w:asciiTheme="minorEastAsia" w:hAnsiTheme="minorEastAsia" w:eastAsiaTheme="minorEastAsia" w:cstheme="minorEastAsia"/>
          <w:sz w:val="32"/>
          <w:szCs w:val="32"/>
          <w:lang w:val="en-US" w:eastAsia="zh-CN"/>
        </w:rPr>
        <w:t>设置了不同标准。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2、明确了区域修正系数。在分行业设置不同控制性指标后，根据各地的发展功能、地理位置，对全省166个开发区，按照区域分为9个类别，针对</w:t>
      </w:r>
      <w:r>
        <w:rPr>
          <w:rFonts w:hint="eastAsia" w:asciiTheme="minorEastAsia" w:hAnsiTheme="minorEastAsia" w:eastAsiaTheme="minorEastAsia" w:cstheme="minorEastAsia"/>
          <w:sz w:val="32"/>
          <w:szCs w:val="32"/>
        </w:rPr>
        <w:t>新建（改建、扩建）项目</w:t>
      </w:r>
      <w:r>
        <w:rPr>
          <w:rFonts w:hint="eastAsia" w:asciiTheme="minorEastAsia" w:hAnsiTheme="minorEastAsia" w:cstheme="minorEastAsia"/>
          <w:sz w:val="32"/>
          <w:szCs w:val="32"/>
          <w:lang w:val="en-US" w:eastAsia="zh-CN"/>
        </w:rPr>
        <w:t>的</w:t>
      </w:r>
      <w:r>
        <w:rPr>
          <w:rFonts w:hint="eastAsia" w:asciiTheme="minorEastAsia" w:hAnsiTheme="minorEastAsia" w:eastAsiaTheme="minorEastAsia" w:cstheme="minorEastAsia"/>
          <w:sz w:val="32"/>
          <w:szCs w:val="32"/>
          <w:lang w:val="en-US" w:eastAsia="zh-CN"/>
        </w:rPr>
        <w:t xml:space="preserve">固定资产投资、亩均税收两个指标，按照不同区域设置了从0.5到1不等的修正系数。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明确了开发区分类。除郑州都市圈区域外，其它区域开发区分为城区开发区、优化开发县（市）开发区、重点发展县（市）开发区、生态功能县（市）开发区4个类别，修正系数分别为0.8、0.7、0.6、0.5。其中南阳市卧龙、宛城、高新属于城区开发区，修正系数为0.</w:t>
      </w: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lang w:val="en-US" w:eastAsia="zh-CN"/>
        </w:rPr>
        <w:t>；镇平县为优化开发县（市）开发区，修正系数为0.7；南召、方城、社旗、唐河、新野5个县为重点发展县（市）开发区，修正系数为0.6；西峡、内乡、淅川、桐柏和邓州5个县为生态功能县（市）开发区，修正系数为0.5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sz w:val="32"/>
          <w:szCs w:val="32"/>
          <w:lang w:val="en-US" w:eastAsia="zh-CN"/>
        </w:rPr>
      </w:pPr>
      <w:r>
        <w:rPr>
          <w:rFonts w:hint="eastAsia" w:ascii="仿宋" w:hAnsi="仿宋" w:eastAsia="仿宋" w:cs="仿宋"/>
          <w:b/>
          <w:bCs/>
          <w:color w:val="000000"/>
          <w:kern w:val="0"/>
          <w:sz w:val="32"/>
          <w:szCs w:val="32"/>
          <w:highlight w:val="none"/>
          <w:lang w:val="en-US" w:eastAsia="zh-CN"/>
        </w:rPr>
        <w:t>二、论证过程</w:t>
      </w:r>
      <w:r>
        <w:rPr>
          <w:rFonts w:hint="eastAsia" w:ascii="仿宋" w:hAnsi="仿宋" w:eastAsia="仿宋" w:cs="仿宋"/>
          <w:b/>
          <w:bCs/>
          <w:color w:val="000000"/>
          <w:kern w:val="0"/>
          <w:sz w:val="32"/>
          <w:szCs w:val="32"/>
          <w:highlight w:val="none"/>
          <w:lang w:val="en-US" w:eastAsia="zh-CN"/>
        </w:rPr>
        <w:t xml:space="preserve">   </w:t>
      </w:r>
      <w:r>
        <w:rPr>
          <w:rFonts w:hint="eastAsia" w:asciiTheme="minorEastAsia" w:hAnsiTheme="minorEastAsia" w:eastAsiaTheme="minorEastAsia" w:cstheme="minorEastAsia"/>
          <w:sz w:val="32"/>
          <w:szCs w:val="32"/>
          <w:lang w:val="en-US" w:eastAsia="zh-CN"/>
        </w:rPr>
        <w:t>针对文件的可行性、可操作性、合理合法性征求了财政、土地、规划等相关部门的意见，对提出的合理意见均已采纳。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三</w:t>
      </w:r>
      <w:r>
        <w:rPr>
          <w:rFonts w:hint="eastAsia" w:asciiTheme="minorEastAsia" w:hAnsiTheme="minorEastAsia" w:eastAsiaTheme="minorEastAsia" w:cstheme="minorEastAsia"/>
          <w:b/>
          <w:bCs/>
          <w:sz w:val="32"/>
          <w:szCs w:val="32"/>
          <w:lang w:val="en-US" w:eastAsia="zh-CN"/>
        </w:rPr>
        <w:t>、内乡县先进制造业开发区标准体系编制说明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9月5日，南阳市开发区建设工作领导小组办公室召开座谈会对省政府这个文件进行了学习讨论，明确市里不出文件，不再统一设置标准，各县结合当地实际，自行出台标准。2022年8月25日，孙县长指示由开发区管委会负责落实。开发区管委会接到指示后，查阅了相关资料、组织机关干部对已入区的5</w:t>
      </w: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lang w:val="en-US" w:eastAsia="zh-CN"/>
        </w:rPr>
        <w:t>家</w:t>
      </w:r>
      <w:r>
        <w:rPr>
          <w:rFonts w:hint="eastAsia" w:asciiTheme="minorEastAsia" w:hAnsiTheme="minorEastAsia" w:cstheme="minorEastAsia"/>
          <w:sz w:val="32"/>
          <w:szCs w:val="32"/>
          <w:lang w:val="en-US" w:eastAsia="zh-CN"/>
        </w:rPr>
        <w:t>规上工业</w:t>
      </w:r>
      <w:r>
        <w:rPr>
          <w:rFonts w:hint="eastAsia" w:asciiTheme="minorEastAsia" w:hAnsiTheme="minorEastAsia" w:eastAsiaTheme="minorEastAsia" w:cstheme="minorEastAsia"/>
          <w:sz w:val="32"/>
          <w:szCs w:val="32"/>
          <w:lang w:val="en-US" w:eastAsia="zh-CN"/>
        </w:rPr>
        <w:t>企业，进行了实地调研，截止2022年</w:t>
      </w:r>
      <w:r>
        <w:rPr>
          <w:rFonts w:hint="eastAsia" w:asciiTheme="minorEastAsia" w:hAnsiTheme="minorEastAsia" w:cstheme="minorEastAsia"/>
          <w:sz w:val="32"/>
          <w:szCs w:val="32"/>
          <w:lang w:val="en-US" w:eastAsia="zh-CN"/>
        </w:rPr>
        <w:t>底</w:t>
      </w:r>
      <w:r>
        <w:rPr>
          <w:rFonts w:hint="eastAsia" w:asciiTheme="minorEastAsia" w:hAnsiTheme="minorEastAsia" w:eastAsiaTheme="minorEastAsia" w:cstheme="minorEastAsia"/>
          <w:sz w:val="32"/>
          <w:szCs w:val="32"/>
          <w:lang w:val="en-US" w:eastAsia="zh-CN"/>
        </w:rPr>
        <w:t>，开发区57个规上工业企业固定资产平均投资强度为</w:t>
      </w:r>
      <w:r>
        <w:rPr>
          <w:rFonts w:hint="eastAsia" w:asciiTheme="minorEastAsia" w:hAnsiTheme="minorEastAsia" w:cstheme="minorEastAsia"/>
          <w:sz w:val="32"/>
          <w:szCs w:val="32"/>
          <w:lang w:val="en-US" w:eastAsia="zh-CN"/>
        </w:rPr>
        <w:t>130.41</w:t>
      </w:r>
      <w:r>
        <w:rPr>
          <w:rFonts w:hint="eastAsia" w:asciiTheme="minorEastAsia" w:hAnsiTheme="minorEastAsia" w:eastAsiaTheme="minorEastAsia" w:cstheme="minorEastAsia"/>
          <w:sz w:val="32"/>
          <w:szCs w:val="32"/>
          <w:lang w:val="en-US" w:eastAsia="zh-CN"/>
        </w:rPr>
        <w:t>万元/亩，</w:t>
      </w:r>
      <w:r>
        <w:rPr>
          <w:rFonts w:hint="eastAsia" w:asciiTheme="minorEastAsia" w:hAnsiTheme="minorEastAsia" w:cstheme="minorEastAsia"/>
          <w:sz w:val="32"/>
          <w:szCs w:val="32"/>
          <w:lang w:val="en-US" w:eastAsia="zh-CN"/>
        </w:rPr>
        <w:t>2022年全口径</w:t>
      </w:r>
      <w:r>
        <w:rPr>
          <w:rFonts w:hint="eastAsia" w:asciiTheme="minorEastAsia" w:hAnsiTheme="minorEastAsia" w:eastAsiaTheme="minorEastAsia" w:cstheme="minorEastAsia"/>
          <w:sz w:val="32"/>
          <w:szCs w:val="32"/>
          <w:lang w:val="en-US" w:eastAsia="zh-CN"/>
        </w:rPr>
        <w:t>亩均税收</w:t>
      </w:r>
      <w:r>
        <w:rPr>
          <w:rFonts w:hint="eastAsia" w:asciiTheme="minorEastAsia" w:hAnsiTheme="minorEastAsia" w:cstheme="minorEastAsia"/>
          <w:sz w:val="32"/>
          <w:szCs w:val="32"/>
          <w:lang w:val="en-US" w:eastAsia="zh-CN"/>
        </w:rPr>
        <w:t>4.13</w:t>
      </w:r>
      <w:r>
        <w:rPr>
          <w:rFonts w:hint="eastAsia" w:asciiTheme="minorEastAsia" w:hAnsiTheme="minorEastAsia" w:eastAsiaTheme="minorEastAsia" w:cstheme="minorEastAsia"/>
          <w:sz w:val="32"/>
          <w:szCs w:val="32"/>
          <w:lang w:val="en-US" w:eastAsia="zh-CN"/>
        </w:rPr>
        <w:t>万元。结合我们县当前的招商引资形势、土地资源、未来发展趋势，进行了综合研判，提出了如下意见</w:t>
      </w:r>
      <w:r>
        <w:rPr>
          <w:rFonts w:hint="eastAsia" w:asciiTheme="minorEastAsia" w:hAnsiTheme="minorEastAsia" w:cstheme="minorEastAsia"/>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cstheme="minorEastAsia"/>
          <w:sz w:val="32"/>
          <w:szCs w:val="32"/>
          <w:lang w:val="en-US" w:eastAsia="zh-CN"/>
        </w:rPr>
      </w:pPr>
      <w:r>
        <w:rPr>
          <w:rFonts w:hint="eastAsia" w:asciiTheme="minorEastAsia" w:hAnsiTheme="minorEastAsia" w:eastAsiaTheme="minorEastAsia" w:cstheme="minorEastAsia"/>
          <w:kern w:val="2"/>
          <w:sz w:val="32"/>
          <w:szCs w:val="32"/>
          <w:lang w:val="en-US" w:eastAsia="zh-CN" w:bidi="ar-SA"/>
        </w:rPr>
        <w:t>1、</w:t>
      </w:r>
      <w:r>
        <w:rPr>
          <w:rFonts w:hint="eastAsia" w:asciiTheme="minorEastAsia" w:hAnsiTheme="minorEastAsia" w:cstheme="minorEastAsia"/>
          <w:kern w:val="2"/>
          <w:sz w:val="32"/>
          <w:szCs w:val="32"/>
          <w:lang w:val="en-US" w:eastAsia="zh-CN" w:bidi="ar-SA"/>
        </w:rPr>
        <w:t>关于控制性指标，原则上主导产业与非主导产业的容积率确定为1.5，建筑系数确定为45%，投资强度为亩均200万元，亩均税收指标最低区间为13—15万元。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、对于存量企业未达到上述有关标准的设立5年的过渡期，过渡期结束亩均税收仍达不到设定标准的，除普惠性政策外，不再享受县定的各种优惠政策。在要素保障方面，优先保障达到标准的企业。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3、设立推荐性指标：亩均投资强度400万元，亩均税收20万元。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heme="minorEastAsia" w:hAnsiTheme="minorEastAsia" w:cstheme="minorEastAsia"/>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YjlhMGUwNjZkNGFmY2YwZDgxMGViMTQ1MGIyNjEifQ=="/>
  </w:docVars>
  <w:rsids>
    <w:rsidRoot w:val="7FA40CBE"/>
    <w:rsid w:val="06604E4C"/>
    <w:rsid w:val="067031C3"/>
    <w:rsid w:val="0D671A69"/>
    <w:rsid w:val="1BA64B8F"/>
    <w:rsid w:val="1BFE6842"/>
    <w:rsid w:val="250A6BFA"/>
    <w:rsid w:val="2BE53BB4"/>
    <w:rsid w:val="3A051379"/>
    <w:rsid w:val="3B212C76"/>
    <w:rsid w:val="43AF0947"/>
    <w:rsid w:val="45664DAF"/>
    <w:rsid w:val="4CB61401"/>
    <w:rsid w:val="56927195"/>
    <w:rsid w:val="5A5E3D40"/>
    <w:rsid w:val="5CD275B1"/>
    <w:rsid w:val="683341A2"/>
    <w:rsid w:val="69E20A43"/>
    <w:rsid w:val="6DBE0208"/>
    <w:rsid w:val="70760402"/>
    <w:rsid w:val="70E82103"/>
    <w:rsid w:val="712A399C"/>
    <w:rsid w:val="72951196"/>
    <w:rsid w:val="78DD1C16"/>
    <w:rsid w:val="7B2C431F"/>
    <w:rsid w:val="7FA4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1412</Words>
  <Characters>1487</Characters>
  <Lines>0</Lines>
  <Paragraphs>0</Paragraphs>
  <TotalTime>2</TotalTime>
  <ScaleCrop>false</ScaleCrop>
  <LinksUpToDate>false</LinksUpToDate>
  <CharactersWithSpaces>1497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2023-06-28T00:57:00Z</dcterms:created>
  <dc:creator>pan583</dc:creator>
  <cp:lastModifiedBy>A悠悠我心</cp:lastModifiedBy>
  <cp:lastPrinted>2023-07-07T07:31:00Z</cp:lastPrinted>
  <dcterms:modified xsi:type="dcterms:W3CDTF">2024-02-05T01:30:43Z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F33BEDC118BA49A6A158AD3CF499AF84_11</vt:lpwstr>
  </property>
</Properties>
</file>